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pacing w:val="-11"/>
          <w:kern w:val="0"/>
          <w:sz w:val="32"/>
          <w:szCs w:val="32"/>
        </w:rPr>
      </w:pPr>
      <w:r>
        <w:rPr>
          <w:rFonts w:hint="eastAsia" w:ascii="黑体" w:hAnsi="黑体" w:eastAsia="黑体" w:cs="黑体"/>
          <w:spacing w:val="-11"/>
          <w:kern w:val="0"/>
          <w:sz w:val="32"/>
          <w:szCs w:val="32"/>
        </w:rPr>
        <w:t>附件</w:t>
      </w:r>
    </w:p>
    <w:p>
      <w:pPr>
        <w:spacing w:line="560" w:lineRule="exact"/>
        <w:jc w:val="center"/>
        <w:rPr>
          <w:rFonts w:ascii="方正小标宋简体" w:hAnsi="方正小标宋简体" w:eastAsia="方正小标宋简体" w:cs="方正小标宋简体"/>
          <w:spacing w:val="-11"/>
          <w:kern w:val="0"/>
          <w:sz w:val="44"/>
          <w:szCs w:val="44"/>
        </w:rPr>
      </w:pPr>
      <w:bookmarkStart w:id="0" w:name="_GoBack"/>
      <w:r>
        <w:rPr>
          <w:rFonts w:hint="eastAsia" w:ascii="方正小标宋简体" w:hAnsi="方正小标宋简体" w:eastAsia="方正小标宋简体" w:cs="方正小标宋简体"/>
          <w:spacing w:val="-11"/>
          <w:kern w:val="0"/>
          <w:sz w:val="44"/>
          <w:szCs w:val="44"/>
        </w:rPr>
        <w:t>山东省高等学历继续教育改革工作任务清单</w:t>
      </w:r>
    </w:p>
    <w:bookmarkEnd w:id="0"/>
    <w:p>
      <w:pPr>
        <w:pStyle w:val="3"/>
        <w:ind w:firstLine="400"/>
      </w:pPr>
    </w:p>
    <w:tbl>
      <w:tblPr>
        <w:tblStyle w:val="5"/>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26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01" w:type="dxa"/>
            <w:noWrap w:val="0"/>
            <w:vAlign w:val="center"/>
          </w:tcPr>
          <w:p>
            <w:pPr>
              <w:spacing w:line="320" w:lineRule="exact"/>
              <w:jc w:val="center"/>
              <w:rPr>
                <w:rFonts w:ascii="黑体" w:hAnsi="黑体" w:eastAsia="黑体" w:cs="黑体"/>
                <w:bCs/>
                <w:kern w:val="0"/>
                <w:sz w:val="24"/>
                <w:szCs w:val="24"/>
              </w:rPr>
            </w:pPr>
            <w:r>
              <w:rPr>
                <w:rFonts w:hint="eastAsia" w:ascii="黑体" w:hAnsi="黑体" w:eastAsia="黑体" w:cs="黑体"/>
                <w:bCs/>
                <w:kern w:val="0"/>
                <w:sz w:val="24"/>
                <w:szCs w:val="24"/>
              </w:rPr>
              <w:t>序号</w:t>
            </w:r>
          </w:p>
        </w:tc>
        <w:tc>
          <w:tcPr>
            <w:tcW w:w="1268" w:type="dxa"/>
            <w:noWrap w:val="0"/>
            <w:vAlign w:val="center"/>
          </w:tcPr>
          <w:p>
            <w:pPr>
              <w:spacing w:line="320" w:lineRule="exact"/>
              <w:jc w:val="center"/>
              <w:rPr>
                <w:rFonts w:ascii="黑体" w:hAnsi="黑体" w:eastAsia="黑体" w:cs="黑体"/>
                <w:bCs/>
                <w:kern w:val="0"/>
                <w:sz w:val="24"/>
                <w:szCs w:val="24"/>
              </w:rPr>
            </w:pPr>
            <w:r>
              <w:rPr>
                <w:rFonts w:hint="eastAsia" w:ascii="黑体" w:hAnsi="黑体" w:eastAsia="黑体" w:cs="黑体"/>
                <w:bCs/>
                <w:kern w:val="0"/>
                <w:sz w:val="24"/>
                <w:szCs w:val="24"/>
              </w:rPr>
              <w:t>改革任务</w:t>
            </w:r>
          </w:p>
        </w:tc>
        <w:tc>
          <w:tcPr>
            <w:tcW w:w="6840" w:type="dxa"/>
            <w:noWrap w:val="0"/>
            <w:vAlign w:val="center"/>
          </w:tcPr>
          <w:p>
            <w:pPr>
              <w:spacing w:line="320" w:lineRule="exact"/>
              <w:jc w:val="center"/>
              <w:rPr>
                <w:rFonts w:eastAsia="黑体"/>
                <w:bCs/>
                <w:kern w:val="0"/>
                <w:sz w:val="24"/>
                <w:szCs w:val="24"/>
              </w:rPr>
            </w:pPr>
            <w:r>
              <w:rPr>
                <w:rFonts w:hint="eastAsia" w:eastAsia="黑体"/>
                <w:bCs/>
                <w:kern w:val="0"/>
                <w:sz w:val="24"/>
                <w:szCs w:val="24"/>
              </w:rPr>
              <w:t>目标内容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pPr>
              <w:spacing w:line="320" w:lineRule="exact"/>
              <w:jc w:val="center"/>
              <w:rPr>
                <w:rFonts w:hint="eastAsia" w:eastAsia="仿宋_GB2312"/>
                <w:b/>
                <w:kern w:val="0"/>
                <w:sz w:val="24"/>
                <w:szCs w:val="24"/>
              </w:rPr>
            </w:pPr>
            <w:r>
              <w:rPr>
                <w:rFonts w:hint="eastAsia" w:eastAsia="仿宋_GB2312"/>
                <w:b/>
                <w:kern w:val="0"/>
                <w:sz w:val="24"/>
                <w:szCs w:val="24"/>
              </w:rPr>
              <w:t>1</w:t>
            </w:r>
          </w:p>
        </w:tc>
        <w:tc>
          <w:tcPr>
            <w:tcW w:w="1268" w:type="dxa"/>
            <w:noWrap w:val="0"/>
            <w:vAlign w:val="center"/>
          </w:tcPr>
          <w:p>
            <w:pPr>
              <w:spacing w:line="320" w:lineRule="exact"/>
              <w:jc w:val="center"/>
              <w:rPr>
                <w:rFonts w:hint="eastAsia" w:eastAsia="仿宋_GB2312"/>
                <w:b/>
                <w:kern w:val="0"/>
                <w:sz w:val="24"/>
                <w:szCs w:val="24"/>
              </w:rPr>
            </w:pPr>
            <w:r>
              <w:rPr>
                <w:rFonts w:hint="eastAsia" w:eastAsia="仿宋_GB2312"/>
                <w:b/>
                <w:kern w:val="0"/>
                <w:sz w:val="24"/>
                <w:szCs w:val="24"/>
              </w:rPr>
              <w:t>明确办学定位</w:t>
            </w:r>
          </w:p>
        </w:tc>
        <w:tc>
          <w:tcPr>
            <w:tcW w:w="6840" w:type="dxa"/>
            <w:noWrap w:val="0"/>
            <w:vAlign w:val="top"/>
          </w:tcPr>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1.</w:t>
            </w:r>
            <w:r>
              <w:rPr>
                <w:rFonts w:hint="eastAsia" w:eastAsia="仿宋_GB2312"/>
                <w:b/>
                <w:bCs/>
                <w:kern w:val="0"/>
                <w:sz w:val="24"/>
                <w:szCs w:val="24"/>
              </w:rPr>
              <w:t>全面贯彻党的教育方针。</w:t>
            </w:r>
            <w:r>
              <w:rPr>
                <w:rFonts w:hint="eastAsia" w:eastAsia="仿宋_GB2312"/>
                <w:kern w:val="0"/>
                <w:sz w:val="24"/>
                <w:szCs w:val="24"/>
              </w:rPr>
              <w:t>各主办高校要加强党对高等学历继续教育工作的全面领导，落实立德树人根本任务，以正确政治方向和工作导向贯穿办学全过程，为高等学历继续教育改革发展提供坚强的政治保证和组织保证。</w:t>
            </w:r>
          </w:p>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2.</w:t>
            </w:r>
            <w:r>
              <w:rPr>
                <w:rFonts w:hint="eastAsia" w:eastAsia="仿宋_GB2312"/>
                <w:b/>
                <w:bCs/>
                <w:kern w:val="0"/>
                <w:sz w:val="24"/>
                <w:szCs w:val="24"/>
              </w:rPr>
              <w:t>坚持育人为本办学理念。</w:t>
            </w:r>
            <w:r>
              <w:rPr>
                <w:rFonts w:hint="eastAsia" w:eastAsia="仿宋_GB2312"/>
                <w:kern w:val="0"/>
                <w:sz w:val="24"/>
                <w:szCs w:val="24"/>
              </w:rPr>
              <w:t>主办高校</w:t>
            </w:r>
            <w:r>
              <w:rPr>
                <w:rFonts w:hint="eastAsia" w:eastAsia="仿宋_GB2312"/>
                <w:bCs/>
                <w:kern w:val="0"/>
                <w:sz w:val="24"/>
                <w:szCs w:val="24"/>
              </w:rPr>
              <w:t>要</w:t>
            </w:r>
            <w:r>
              <w:rPr>
                <w:rFonts w:hint="eastAsia" w:eastAsia="仿宋_GB2312"/>
                <w:kern w:val="0"/>
                <w:sz w:val="24"/>
                <w:szCs w:val="24"/>
              </w:rPr>
              <w:t>建立健全“三全育人”机制，将学历继续教育作为落实人才培养和社会服务职能的重要方面纳入学校总体发展规划。</w:t>
            </w:r>
          </w:p>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kern w:val="0"/>
                <w:sz w:val="24"/>
                <w:szCs w:val="24"/>
              </w:rPr>
              <w:t>3.</w:t>
            </w:r>
            <w:r>
              <w:rPr>
                <w:rFonts w:hint="eastAsia" w:eastAsia="仿宋_GB2312"/>
                <w:b/>
                <w:kern w:val="0"/>
                <w:sz w:val="24"/>
                <w:szCs w:val="24"/>
              </w:rPr>
              <w:t>强化公益属性</w:t>
            </w:r>
            <w:r>
              <w:rPr>
                <w:rFonts w:hint="eastAsia" w:eastAsia="仿宋_GB2312"/>
                <w:kern w:val="0"/>
                <w:sz w:val="24"/>
                <w:szCs w:val="24"/>
              </w:rPr>
              <w:t>。主办高校要坚持学历继续教育的公益性和普惠性，不得以营利为目的，不得以任何形式向学历继续举办（归口管理）部门下达经济考核指标，确保办学质量与学校品牌声誉</w:t>
            </w:r>
            <w:r>
              <w:rPr>
                <w:rFonts w:hint="eastAsia" w:ascii="仿宋_GB2312" w:hAnsi="仿宋_GB2312" w:eastAsia="仿宋_GB2312" w:cs="仿宋_GB2312"/>
                <w:kern w:val="0"/>
                <w:sz w:val="24"/>
                <w:szCs w:val="24"/>
              </w:rPr>
              <w:t>相</w:t>
            </w:r>
            <w:r>
              <w:rPr>
                <w:rFonts w:hint="eastAsia" w:eastAsia="仿宋_GB2312"/>
                <w:kern w:val="0"/>
                <w:sz w:val="24"/>
                <w:szCs w:val="24"/>
              </w:rPr>
              <w:t>统一</w:t>
            </w:r>
            <w:r>
              <w:rPr>
                <w:rFonts w:hint="eastAsia" w:ascii="仿宋_GB2312" w:hAnsi="仿宋_GB2312" w:eastAsia="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pPr>
              <w:spacing w:line="320" w:lineRule="exact"/>
              <w:jc w:val="center"/>
              <w:rPr>
                <w:rFonts w:hint="eastAsia" w:eastAsia="仿宋_GB2312"/>
                <w:b/>
                <w:kern w:val="0"/>
                <w:sz w:val="24"/>
                <w:szCs w:val="24"/>
              </w:rPr>
            </w:pPr>
            <w:r>
              <w:rPr>
                <w:rFonts w:hint="eastAsia" w:eastAsia="仿宋_GB2312"/>
                <w:b/>
                <w:kern w:val="0"/>
                <w:sz w:val="24"/>
                <w:szCs w:val="24"/>
              </w:rPr>
              <w:t>2</w:t>
            </w:r>
          </w:p>
          <w:p>
            <w:pPr>
              <w:pStyle w:val="3"/>
              <w:ind w:firstLine="0" w:firstLineChars="0"/>
              <w:rPr>
                <w:rFonts w:hint="eastAsia"/>
              </w:rPr>
            </w:pPr>
          </w:p>
        </w:tc>
        <w:tc>
          <w:tcPr>
            <w:tcW w:w="1268" w:type="dxa"/>
            <w:noWrap w:val="0"/>
            <w:vAlign w:val="center"/>
          </w:tcPr>
          <w:p>
            <w:pPr>
              <w:spacing w:line="320" w:lineRule="exact"/>
              <w:jc w:val="center"/>
              <w:rPr>
                <w:rFonts w:hint="eastAsia" w:eastAsia="仿宋_GB2312"/>
                <w:b/>
                <w:kern w:val="0"/>
                <w:sz w:val="24"/>
                <w:szCs w:val="24"/>
              </w:rPr>
            </w:pPr>
            <w:r>
              <w:rPr>
                <w:rFonts w:hint="eastAsia" w:eastAsia="仿宋_GB2312"/>
                <w:b/>
                <w:kern w:val="0"/>
                <w:sz w:val="24"/>
                <w:szCs w:val="24"/>
              </w:rPr>
              <w:t>优化专业布局</w:t>
            </w:r>
          </w:p>
        </w:tc>
        <w:tc>
          <w:tcPr>
            <w:tcW w:w="6840" w:type="dxa"/>
            <w:noWrap w:val="0"/>
            <w:vAlign w:val="top"/>
          </w:tcPr>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4.</w:t>
            </w:r>
            <w:r>
              <w:rPr>
                <w:rFonts w:hint="eastAsia" w:eastAsia="仿宋_GB2312"/>
                <w:b/>
                <w:bCs/>
                <w:kern w:val="0"/>
                <w:sz w:val="24"/>
                <w:szCs w:val="24"/>
              </w:rPr>
              <w:t>加强专业设置管理。</w:t>
            </w:r>
            <w:r>
              <w:rPr>
                <w:rFonts w:hint="eastAsia" w:eastAsia="仿宋_GB2312"/>
                <w:kern w:val="0"/>
                <w:sz w:val="24"/>
                <w:szCs w:val="24"/>
              </w:rPr>
              <w:t>主办高校要严格按照《高等学历继续教育专业设置管理办法》</w:t>
            </w:r>
            <w:r>
              <w:rPr>
                <w:rFonts w:hint="eastAsia" w:ascii="仿宋_GB2312" w:hAnsi="仿宋_GB2312" w:eastAsia="仿宋_GB2312" w:cs="仿宋_GB2312"/>
                <w:kern w:val="0"/>
                <w:sz w:val="24"/>
                <w:szCs w:val="24"/>
              </w:rPr>
              <w:t>相关要求</w:t>
            </w:r>
            <w:r>
              <w:rPr>
                <w:rFonts w:hint="eastAsia" w:eastAsia="仿宋_GB2312"/>
                <w:kern w:val="0"/>
                <w:sz w:val="24"/>
                <w:szCs w:val="24"/>
              </w:rPr>
              <w:t>，结合学校自身办学定位、办学能力</w:t>
            </w:r>
            <w:r>
              <w:rPr>
                <w:rFonts w:hint="eastAsia" w:ascii="仿宋_GB2312" w:hAnsi="仿宋_GB2312" w:eastAsia="仿宋_GB2312" w:cs="仿宋_GB2312"/>
                <w:kern w:val="0"/>
                <w:sz w:val="24"/>
                <w:szCs w:val="24"/>
              </w:rPr>
              <w:t>、</w:t>
            </w:r>
            <w:r>
              <w:rPr>
                <w:rFonts w:hint="eastAsia" w:eastAsia="仿宋_GB2312"/>
                <w:kern w:val="0"/>
                <w:sz w:val="24"/>
                <w:szCs w:val="24"/>
              </w:rPr>
              <w:t>办学特色</w:t>
            </w:r>
            <w:r>
              <w:rPr>
                <w:rFonts w:hint="eastAsia" w:ascii="仿宋_GB2312" w:hAnsi="仿宋_GB2312" w:eastAsia="仿宋_GB2312" w:cs="仿宋_GB2312"/>
                <w:kern w:val="0"/>
                <w:sz w:val="24"/>
                <w:szCs w:val="24"/>
              </w:rPr>
              <w:t>设置专业</w:t>
            </w:r>
            <w:r>
              <w:rPr>
                <w:rFonts w:hint="eastAsia" w:eastAsia="仿宋_GB2312"/>
                <w:kern w:val="0"/>
                <w:sz w:val="24"/>
                <w:szCs w:val="24"/>
              </w:rPr>
              <w:t>，办好特色专业，打造品牌专业。</w:t>
            </w:r>
          </w:p>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5.</w:t>
            </w:r>
            <w:r>
              <w:rPr>
                <w:rFonts w:hint="eastAsia" w:eastAsia="仿宋_GB2312"/>
                <w:b/>
                <w:bCs/>
                <w:kern w:val="0"/>
                <w:sz w:val="24"/>
                <w:szCs w:val="24"/>
              </w:rPr>
              <w:t>坚持分类发展。</w:t>
            </w:r>
            <w:r>
              <w:rPr>
                <w:rFonts w:hint="eastAsia" w:eastAsia="仿宋_GB2312"/>
                <w:kern w:val="0"/>
                <w:sz w:val="24"/>
                <w:szCs w:val="24"/>
              </w:rPr>
              <w:t>普通本科高校应聚焦服务区域重点行业、支柱产业和特色产业发展规划设置专业；高等职业学校聚焦制造业重点领域、现代服务业和乡村振兴需求设置专业；开放大学和独立设置成人高校根据自身办学能力和服务面向办好优势特色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pPr>
              <w:spacing w:line="320" w:lineRule="exact"/>
              <w:jc w:val="center"/>
              <w:rPr>
                <w:rFonts w:hint="eastAsia" w:eastAsia="仿宋_GB2312"/>
                <w:b/>
                <w:kern w:val="0"/>
                <w:sz w:val="24"/>
                <w:szCs w:val="24"/>
              </w:rPr>
            </w:pPr>
          </w:p>
          <w:p>
            <w:pPr>
              <w:spacing w:line="320" w:lineRule="exact"/>
              <w:jc w:val="center"/>
              <w:rPr>
                <w:rFonts w:hint="eastAsia" w:eastAsia="仿宋_GB2312"/>
                <w:b/>
                <w:kern w:val="0"/>
                <w:sz w:val="24"/>
                <w:szCs w:val="24"/>
              </w:rPr>
            </w:pPr>
            <w:r>
              <w:rPr>
                <w:rFonts w:hint="eastAsia" w:eastAsia="仿宋_GB2312"/>
                <w:b/>
                <w:kern w:val="0"/>
                <w:sz w:val="24"/>
                <w:szCs w:val="24"/>
              </w:rPr>
              <w:t>3</w:t>
            </w:r>
          </w:p>
          <w:p>
            <w:pPr>
              <w:pStyle w:val="3"/>
              <w:ind w:firstLine="400"/>
              <w:rPr>
                <w:rFonts w:hint="eastAsia"/>
              </w:rPr>
            </w:pPr>
          </w:p>
        </w:tc>
        <w:tc>
          <w:tcPr>
            <w:tcW w:w="1268" w:type="dxa"/>
            <w:noWrap w:val="0"/>
            <w:vAlign w:val="center"/>
          </w:tcPr>
          <w:p>
            <w:pPr>
              <w:spacing w:line="320" w:lineRule="exact"/>
              <w:jc w:val="center"/>
              <w:rPr>
                <w:rFonts w:hint="eastAsia" w:eastAsia="仿宋_GB2312"/>
                <w:b/>
                <w:kern w:val="0"/>
                <w:sz w:val="24"/>
                <w:szCs w:val="24"/>
              </w:rPr>
            </w:pPr>
            <w:r>
              <w:rPr>
                <w:rFonts w:hint="eastAsia" w:eastAsia="仿宋_GB2312"/>
                <w:b/>
                <w:kern w:val="0"/>
                <w:sz w:val="24"/>
                <w:szCs w:val="24"/>
              </w:rPr>
              <w:t>完善体制机制</w:t>
            </w:r>
          </w:p>
        </w:tc>
        <w:tc>
          <w:tcPr>
            <w:tcW w:w="6840" w:type="dxa"/>
            <w:noWrap w:val="0"/>
            <w:vAlign w:val="top"/>
          </w:tcPr>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6.</w:t>
            </w:r>
            <w:r>
              <w:rPr>
                <w:rFonts w:hint="eastAsia" w:eastAsia="仿宋_GB2312"/>
                <w:b/>
                <w:bCs/>
                <w:kern w:val="0"/>
                <w:sz w:val="24"/>
                <w:szCs w:val="24"/>
              </w:rPr>
              <w:t>优化管理体制。</w:t>
            </w:r>
            <w:r>
              <w:rPr>
                <w:rFonts w:hint="eastAsia" w:eastAsia="仿宋_GB2312"/>
                <w:kern w:val="0"/>
                <w:sz w:val="24"/>
                <w:szCs w:val="24"/>
              </w:rPr>
              <w:t>主办高校要严格落实办学主体责任，坚持</w:t>
            </w:r>
            <w:r>
              <w:rPr>
                <w:rFonts w:hint="eastAsia" w:eastAsia="仿宋_GB2312"/>
                <w:bCs/>
                <w:kern w:val="0"/>
                <w:sz w:val="24"/>
                <w:szCs w:val="24"/>
              </w:rPr>
              <w:t>管办分离，</w:t>
            </w:r>
            <w:r>
              <w:rPr>
                <w:rFonts w:hint="eastAsia" w:eastAsia="仿宋_GB2312"/>
                <w:kern w:val="0"/>
                <w:sz w:val="24"/>
                <w:szCs w:val="24"/>
              </w:rPr>
              <w:t>明确所办学历继续教育归口管理部门，清晰界定</w:t>
            </w:r>
            <w:r>
              <w:rPr>
                <w:rFonts w:hint="eastAsia" w:eastAsia="仿宋_GB2312"/>
                <w:color w:val="auto"/>
                <w:kern w:val="0"/>
                <w:sz w:val="24"/>
                <w:szCs w:val="24"/>
              </w:rPr>
              <w:t>管理部门、办学部门和二级学院（系、部）</w:t>
            </w:r>
            <w:r>
              <w:rPr>
                <w:rFonts w:hint="eastAsia" w:eastAsia="仿宋_GB2312"/>
                <w:kern w:val="0"/>
                <w:sz w:val="24"/>
                <w:szCs w:val="24"/>
              </w:rPr>
              <w:t>职责和任务分工。</w:t>
            </w:r>
          </w:p>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7.</w:t>
            </w:r>
            <w:r>
              <w:rPr>
                <w:rFonts w:hint="eastAsia" w:eastAsia="仿宋_GB2312"/>
                <w:b/>
                <w:bCs/>
                <w:kern w:val="0"/>
                <w:sz w:val="24"/>
                <w:szCs w:val="24"/>
              </w:rPr>
              <w:t>明确管理机制。</w:t>
            </w:r>
            <w:r>
              <w:rPr>
                <w:rFonts w:hint="eastAsia" w:ascii="仿宋_GB2312" w:hAnsi="仿宋_GB2312" w:eastAsia="仿宋_GB2312" w:cs="仿宋_GB2312"/>
                <w:kern w:val="0"/>
                <w:sz w:val="24"/>
                <w:szCs w:val="24"/>
              </w:rPr>
              <w:t>主办学校要</w:t>
            </w:r>
            <w:r>
              <w:rPr>
                <w:rFonts w:hint="eastAsia" w:eastAsia="仿宋_GB2312"/>
                <w:kern w:val="0"/>
                <w:sz w:val="24"/>
                <w:szCs w:val="24"/>
              </w:rPr>
              <w:t>健全招生宣传、学费收缴、合作办学、财务管理、教学管理、证书发放等方面的程序和管理机制，完善办学过程中的廉政风险防范管控机制。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pPr>
              <w:spacing w:line="320" w:lineRule="exact"/>
              <w:jc w:val="center"/>
              <w:rPr>
                <w:rFonts w:hint="eastAsia" w:eastAsia="仿宋_GB2312"/>
                <w:b/>
                <w:kern w:val="0"/>
                <w:sz w:val="24"/>
                <w:szCs w:val="24"/>
              </w:rPr>
            </w:pPr>
            <w:r>
              <w:rPr>
                <w:rFonts w:hint="eastAsia" w:eastAsia="仿宋_GB2312"/>
                <w:b/>
                <w:kern w:val="0"/>
                <w:sz w:val="24"/>
                <w:szCs w:val="24"/>
              </w:rPr>
              <w:t>4</w:t>
            </w:r>
          </w:p>
        </w:tc>
        <w:tc>
          <w:tcPr>
            <w:tcW w:w="1268" w:type="dxa"/>
            <w:noWrap w:val="0"/>
            <w:vAlign w:val="center"/>
          </w:tcPr>
          <w:p>
            <w:pPr>
              <w:spacing w:line="320" w:lineRule="exact"/>
              <w:jc w:val="center"/>
              <w:rPr>
                <w:rFonts w:hint="eastAsia" w:eastAsia="仿宋_GB2312"/>
                <w:b/>
                <w:kern w:val="0"/>
                <w:sz w:val="24"/>
                <w:szCs w:val="24"/>
              </w:rPr>
            </w:pPr>
            <w:r>
              <w:rPr>
                <w:rFonts w:hint="eastAsia" w:eastAsia="仿宋_GB2312"/>
                <w:b/>
                <w:kern w:val="0"/>
                <w:sz w:val="24"/>
                <w:szCs w:val="24"/>
              </w:rPr>
              <w:t>加强招生管理</w:t>
            </w:r>
          </w:p>
        </w:tc>
        <w:tc>
          <w:tcPr>
            <w:tcW w:w="6840" w:type="dxa"/>
            <w:noWrap w:val="0"/>
            <w:vAlign w:val="top"/>
          </w:tcPr>
          <w:p>
            <w:pPr>
              <w:pStyle w:val="7"/>
              <w:snapToGrid w:val="0"/>
              <w:spacing w:line="320" w:lineRule="exact"/>
              <w:ind w:firstLine="0" w:firstLineChars="0"/>
              <w:jc w:val="left"/>
              <w:rPr>
                <w:rFonts w:hint="eastAsia" w:eastAsia="仿宋_GB2312"/>
                <w:kern w:val="0"/>
                <w:sz w:val="24"/>
                <w:szCs w:val="24"/>
              </w:rPr>
            </w:pPr>
            <w:r>
              <w:rPr>
                <w:rFonts w:hint="eastAsia" w:ascii="仿宋_GB2312" w:hAnsi="仿宋_GB2312" w:eastAsia="仿宋_GB2312" w:cs="仿宋_GB2312"/>
                <w:b/>
                <w:bCs/>
                <w:kern w:val="0"/>
                <w:sz w:val="24"/>
                <w:szCs w:val="24"/>
              </w:rPr>
              <w:t>8.</w:t>
            </w:r>
            <w:r>
              <w:rPr>
                <w:rFonts w:hint="eastAsia" w:eastAsia="仿宋_GB2312"/>
                <w:b/>
                <w:bCs/>
                <w:kern w:val="0"/>
                <w:sz w:val="24"/>
                <w:szCs w:val="24"/>
              </w:rPr>
              <w:t>合理确定招生规模。</w:t>
            </w:r>
            <w:r>
              <w:rPr>
                <w:rFonts w:hint="eastAsia" w:eastAsia="仿宋_GB2312"/>
                <w:kern w:val="0"/>
                <w:sz w:val="24"/>
                <w:szCs w:val="24"/>
              </w:rPr>
              <w:t>主办高校依据普通高等学校基本办学条件指标和《普通高等学校学历继续教育办学基本要求（试行）》，结合我省</w:t>
            </w:r>
            <w:r>
              <w:rPr>
                <w:rFonts w:hint="eastAsia" w:ascii="仿宋_GB2312" w:hAnsi="仿宋_GB2312" w:eastAsia="仿宋_GB2312" w:cs="仿宋_GB2312"/>
                <w:kern w:val="0"/>
                <w:sz w:val="24"/>
                <w:szCs w:val="24"/>
              </w:rPr>
              <w:t>区域</w:t>
            </w:r>
            <w:r>
              <w:rPr>
                <w:rFonts w:hint="eastAsia" w:eastAsia="仿宋_GB2312"/>
                <w:kern w:val="0"/>
                <w:sz w:val="24"/>
                <w:szCs w:val="24"/>
              </w:rPr>
              <w:t>经济社会发展需求、学校办学条件、办学实际等情况，遵循聚焦特色、控制规模、保证质量的原则，合理确定学历继续教育年度招生</w:t>
            </w:r>
            <w:r>
              <w:rPr>
                <w:rFonts w:hint="eastAsia" w:eastAsia="仿宋_GB2312"/>
                <w:kern w:val="0"/>
                <w:sz w:val="24"/>
                <w:szCs w:val="24"/>
                <w:lang w:eastAsia="zh-CN"/>
              </w:rPr>
              <w:t>计划申报</w:t>
            </w:r>
            <w:r>
              <w:rPr>
                <w:rFonts w:hint="eastAsia" w:eastAsia="仿宋_GB2312"/>
                <w:kern w:val="0"/>
                <w:sz w:val="24"/>
                <w:szCs w:val="24"/>
              </w:rPr>
              <w:t>规模。</w:t>
            </w:r>
          </w:p>
          <w:p>
            <w:pPr>
              <w:pStyle w:val="7"/>
              <w:snapToGrid w:val="0"/>
              <w:spacing w:line="320" w:lineRule="exact"/>
              <w:ind w:firstLine="0" w:firstLineChars="0"/>
              <w:jc w:val="left"/>
              <w:rPr>
                <w:rFonts w:hint="eastAsia" w:eastAsia="仿宋_GB2312"/>
                <w:kern w:val="0"/>
                <w:sz w:val="24"/>
                <w:szCs w:val="24"/>
              </w:rPr>
            </w:pPr>
            <w:r>
              <w:rPr>
                <w:rFonts w:hint="eastAsia" w:ascii="仿宋_GB2312" w:hAnsi="仿宋_GB2312" w:eastAsia="仿宋_GB2312" w:cs="仿宋_GB2312"/>
                <w:b/>
                <w:bCs/>
                <w:kern w:val="0"/>
                <w:sz w:val="24"/>
                <w:szCs w:val="24"/>
              </w:rPr>
              <w:t>9.</w:t>
            </w:r>
            <w:r>
              <w:rPr>
                <w:rFonts w:hint="eastAsia" w:eastAsia="仿宋_GB2312"/>
                <w:b/>
                <w:bCs/>
                <w:kern w:val="0"/>
                <w:sz w:val="24"/>
                <w:szCs w:val="24"/>
              </w:rPr>
              <w:t>科学安排招生计划。</w:t>
            </w:r>
            <w:r>
              <w:rPr>
                <w:rFonts w:hint="eastAsia" w:eastAsia="仿宋_GB2312"/>
                <w:color w:val="auto"/>
                <w:kern w:val="0"/>
                <w:sz w:val="24"/>
                <w:szCs w:val="24"/>
              </w:rPr>
              <w:t>主办高校应当按照《普通高等学校学历继续教育办学基本要求（试行）》以及公布备</w:t>
            </w:r>
            <w:r>
              <w:rPr>
                <w:rFonts w:hint="eastAsia" w:eastAsia="仿宋_GB2312"/>
                <w:kern w:val="0"/>
                <w:sz w:val="24"/>
                <w:szCs w:val="24"/>
              </w:rPr>
              <w:t>案的专业及校外教学点办学条件科学安排招生计划。拟招生人数与专业设置和校外教学点基本条件相匹配。</w:t>
            </w:r>
          </w:p>
          <w:p>
            <w:pPr>
              <w:pStyle w:val="7"/>
              <w:snapToGrid w:val="0"/>
              <w:spacing w:line="320" w:lineRule="exact"/>
              <w:ind w:firstLine="0" w:firstLineChars="0"/>
              <w:jc w:val="left"/>
              <w:rPr>
                <w:rFonts w:hint="eastAsia" w:eastAsia="仿宋_GB2312"/>
                <w:kern w:val="0"/>
                <w:sz w:val="24"/>
                <w:szCs w:val="24"/>
              </w:rPr>
            </w:pPr>
            <w:r>
              <w:rPr>
                <w:rFonts w:hint="eastAsia" w:ascii="仿宋_GB2312" w:hAnsi="仿宋_GB2312" w:eastAsia="仿宋_GB2312" w:cs="仿宋_GB2312"/>
                <w:b/>
                <w:bCs/>
                <w:kern w:val="0"/>
                <w:sz w:val="24"/>
                <w:szCs w:val="24"/>
              </w:rPr>
              <w:t>10.</w:t>
            </w:r>
            <w:r>
              <w:rPr>
                <w:rFonts w:hint="eastAsia" w:eastAsia="仿宋_GB2312"/>
                <w:b/>
                <w:bCs/>
                <w:kern w:val="0"/>
                <w:sz w:val="24"/>
                <w:szCs w:val="24"/>
              </w:rPr>
              <w:t>规范招生行为。</w:t>
            </w:r>
            <w:r>
              <w:rPr>
                <w:rFonts w:hint="eastAsia" w:eastAsia="仿宋_GB2312"/>
                <w:kern w:val="0"/>
                <w:sz w:val="24"/>
                <w:szCs w:val="24"/>
              </w:rPr>
              <w:t>主办高校要强化招生广告宣传管理，</w:t>
            </w:r>
            <w:r>
              <w:rPr>
                <w:rFonts w:hint="eastAsia" w:ascii="仿宋_GB2312" w:hAnsi="仿宋_GB2312" w:eastAsia="仿宋_GB2312" w:cs="仿宋_GB2312"/>
                <w:kern w:val="0"/>
                <w:sz w:val="24"/>
                <w:szCs w:val="24"/>
              </w:rPr>
              <w:t>规范广告发布行为，</w:t>
            </w:r>
            <w:r>
              <w:rPr>
                <w:rFonts w:hint="eastAsia" w:eastAsia="仿宋_GB2312"/>
                <w:kern w:val="0"/>
                <w:sz w:val="24"/>
                <w:szCs w:val="24"/>
              </w:rPr>
              <w:t>招生简章等材料须由学校统一印发。校外教学点未经学校法人书面授权不得自行开展招生宣传，不得虚假承诺、夸大宣传或委托其他组织（个人）代为招生宣传；不得提供“代报名”“代学”“替考”等违规托管服务。</w:t>
            </w:r>
          </w:p>
          <w:p>
            <w:pPr>
              <w:pStyle w:val="7"/>
              <w:snapToGrid w:val="0"/>
              <w:spacing w:line="320" w:lineRule="exact"/>
              <w:ind w:firstLine="0" w:firstLineChars="0"/>
              <w:jc w:val="left"/>
              <w:rPr>
                <w:rFonts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11.</w:t>
            </w:r>
            <w:r>
              <w:rPr>
                <w:rFonts w:hint="eastAsia" w:eastAsia="仿宋_GB2312"/>
                <w:b/>
                <w:bCs/>
                <w:kern w:val="0"/>
                <w:sz w:val="24"/>
                <w:szCs w:val="24"/>
              </w:rPr>
              <w:t>保证信息公开。</w:t>
            </w:r>
            <w:r>
              <w:rPr>
                <w:rFonts w:hint="eastAsia" w:ascii="仿宋_GB2312" w:hAnsi="仿宋_GB2312" w:eastAsia="仿宋_GB2312" w:cs="仿宋_GB2312"/>
                <w:kern w:val="0"/>
                <w:sz w:val="24"/>
                <w:szCs w:val="24"/>
              </w:rPr>
              <w:t>主办高校要</w:t>
            </w:r>
            <w:r>
              <w:rPr>
                <w:rFonts w:hint="eastAsia" w:eastAsia="仿宋_GB2312"/>
                <w:kern w:val="0"/>
                <w:sz w:val="24"/>
                <w:szCs w:val="24"/>
              </w:rPr>
              <w:t>主动向社会公开高等学历继续教育的办学主体、专业设置、校外教学点、招生范围、报名渠道、学费标准</w:t>
            </w:r>
            <w:r>
              <w:rPr>
                <w:rFonts w:hint="eastAsia" w:ascii="仿宋_GB2312" w:hAnsi="仿宋_GB2312" w:eastAsia="仿宋_GB2312" w:cs="仿宋_GB2312"/>
                <w:kern w:val="0"/>
                <w:sz w:val="24"/>
                <w:szCs w:val="24"/>
              </w:rPr>
              <w:t>、招生网站网址、毕业证书和学位证书获取条件等信息，</w:t>
            </w:r>
          </w:p>
          <w:p>
            <w:pPr>
              <w:pStyle w:val="7"/>
              <w:snapToGrid w:val="0"/>
              <w:spacing w:line="320" w:lineRule="exact"/>
              <w:ind w:firstLine="0" w:firstLineChars="0"/>
              <w:jc w:val="left"/>
              <w:rPr>
                <w:rFonts w:hint="eastAsia" w:eastAsia="仿宋_GB2312"/>
                <w:kern w:val="0"/>
                <w:sz w:val="24"/>
                <w:szCs w:val="24"/>
              </w:rPr>
            </w:pPr>
            <w:r>
              <w:rPr>
                <w:rFonts w:hint="eastAsia" w:eastAsia="仿宋_GB2312"/>
                <w:kern w:val="0"/>
                <w:sz w:val="24"/>
                <w:szCs w:val="24"/>
              </w:rPr>
              <w:t>实现高等学历继续教育业务一网通办、信息一网公开。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pPr>
              <w:spacing w:line="320" w:lineRule="exact"/>
              <w:jc w:val="center"/>
              <w:rPr>
                <w:rFonts w:hint="eastAsia" w:eastAsia="仿宋_GB2312"/>
                <w:b/>
                <w:kern w:val="0"/>
                <w:sz w:val="24"/>
                <w:szCs w:val="24"/>
              </w:rPr>
            </w:pPr>
            <w:r>
              <w:rPr>
                <w:rFonts w:hint="eastAsia" w:eastAsia="仿宋_GB2312"/>
                <w:b/>
                <w:kern w:val="0"/>
                <w:sz w:val="24"/>
                <w:szCs w:val="24"/>
              </w:rPr>
              <w:t>5</w:t>
            </w:r>
          </w:p>
        </w:tc>
        <w:tc>
          <w:tcPr>
            <w:tcW w:w="1268" w:type="dxa"/>
            <w:noWrap w:val="0"/>
            <w:vAlign w:val="center"/>
          </w:tcPr>
          <w:p>
            <w:pPr>
              <w:spacing w:line="320" w:lineRule="exact"/>
              <w:jc w:val="center"/>
              <w:rPr>
                <w:rFonts w:hint="eastAsia" w:eastAsia="仿宋_GB2312"/>
                <w:b/>
                <w:kern w:val="0"/>
                <w:sz w:val="24"/>
                <w:szCs w:val="24"/>
              </w:rPr>
            </w:pPr>
            <w:r>
              <w:rPr>
                <w:rFonts w:hint="eastAsia" w:eastAsia="仿宋_GB2312"/>
                <w:b/>
                <w:kern w:val="0"/>
                <w:sz w:val="24"/>
                <w:szCs w:val="24"/>
              </w:rPr>
              <w:t>强化过程管理</w:t>
            </w:r>
          </w:p>
        </w:tc>
        <w:tc>
          <w:tcPr>
            <w:tcW w:w="6840" w:type="dxa"/>
            <w:noWrap w:val="0"/>
            <w:vAlign w:val="top"/>
          </w:tcPr>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12.</w:t>
            </w:r>
            <w:r>
              <w:rPr>
                <w:rFonts w:hint="eastAsia" w:eastAsia="仿宋_GB2312"/>
                <w:b/>
                <w:bCs/>
                <w:kern w:val="0"/>
                <w:sz w:val="24"/>
                <w:szCs w:val="24"/>
              </w:rPr>
              <w:t>加强过程管理。</w:t>
            </w:r>
            <w:r>
              <w:rPr>
                <w:rFonts w:hint="eastAsia" w:ascii="仿宋_GB2312" w:hAnsi="仿宋_GB2312" w:eastAsia="仿宋_GB2312" w:cs="仿宋_GB2312"/>
                <w:kern w:val="0"/>
                <w:sz w:val="24"/>
                <w:szCs w:val="24"/>
              </w:rPr>
              <w:t>主办高校要</w:t>
            </w:r>
            <w:r>
              <w:rPr>
                <w:rFonts w:hint="eastAsia" w:eastAsia="仿宋_GB2312"/>
                <w:kern w:val="0"/>
                <w:sz w:val="24"/>
                <w:szCs w:val="24"/>
              </w:rPr>
              <w:t>加强教师教学、辅导答疑和学生学习的全过程监管，</w:t>
            </w:r>
            <w:r>
              <w:rPr>
                <w:rFonts w:hint="eastAsia" w:ascii="仿宋_GB2312" w:hAnsi="仿宋_GB2312" w:eastAsia="仿宋_GB2312" w:cs="仿宋_GB2312"/>
                <w:kern w:val="0"/>
                <w:sz w:val="24"/>
                <w:szCs w:val="24"/>
              </w:rPr>
              <w:t>做到教学管理全过程可记录、可监控、可评价、可追溯。</w:t>
            </w:r>
            <w:r>
              <w:rPr>
                <w:rFonts w:hint="eastAsia" w:eastAsia="仿宋_GB2312"/>
                <w:kern w:val="0"/>
                <w:sz w:val="24"/>
                <w:szCs w:val="24"/>
              </w:rPr>
              <w:t>如教师教案、课堂教学效果、辅导答疑实施、学生学习考勤和过程记录以及作业批改等，将教学效果、学习过程和效果分别计入教师考核和学生评价，精准判断学生学习效果与教学质量，实现个性诊断与即时干预。</w:t>
            </w:r>
            <w:r>
              <w:rPr>
                <w:rFonts w:hint="eastAsia" w:ascii="仿宋_GB2312" w:hAnsi="仿宋_GB2312" w:eastAsia="仿宋_GB2312" w:cs="仿宋_GB2312"/>
                <w:kern w:val="0"/>
                <w:sz w:val="24"/>
                <w:szCs w:val="24"/>
              </w:rPr>
              <w:t>探索通过实践作业、情境测试、技能认证等方式科学评价学生能力水平。</w:t>
            </w:r>
          </w:p>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13.</w:t>
            </w:r>
            <w:r>
              <w:rPr>
                <w:rFonts w:hint="eastAsia" w:eastAsia="仿宋_GB2312"/>
                <w:b/>
                <w:bCs/>
                <w:kern w:val="0"/>
                <w:sz w:val="24"/>
                <w:szCs w:val="24"/>
              </w:rPr>
              <w:t>严格教材建设管理。</w:t>
            </w:r>
            <w:r>
              <w:rPr>
                <w:rFonts w:hint="eastAsia" w:eastAsia="仿宋_GB2312"/>
                <w:kern w:val="0"/>
                <w:sz w:val="24"/>
                <w:szCs w:val="24"/>
              </w:rPr>
              <w:t>主办高校要按照高等学历继续教育教材建设与管理的有关要求，明确管理职责，压实管理责任，完善高等学历继续教育教材管理体制。建立课程教材选用的审核制度，</w:t>
            </w:r>
            <w:r>
              <w:rPr>
                <w:rFonts w:hint="eastAsia" w:ascii="仿宋_GB2312" w:hAnsi="仿宋_GB2312" w:eastAsia="仿宋_GB2312" w:cs="仿宋_GB2312"/>
                <w:kern w:val="0"/>
                <w:sz w:val="24"/>
                <w:szCs w:val="24"/>
              </w:rPr>
              <w:t>规范教材选用。</w:t>
            </w:r>
            <w:r>
              <w:rPr>
                <w:rFonts w:hint="eastAsia" w:eastAsia="仿宋_GB2312"/>
                <w:kern w:val="0"/>
                <w:sz w:val="24"/>
                <w:szCs w:val="24"/>
              </w:rPr>
              <w:t>主办高校党委对本校学历继续教育教材工作负总责，学校教材选用委员会具体负责教材的选用工作。</w:t>
            </w:r>
          </w:p>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14.加强</w:t>
            </w:r>
            <w:r>
              <w:rPr>
                <w:rFonts w:hint="eastAsia" w:eastAsia="仿宋_GB2312"/>
                <w:b/>
                <w:bCs/>
                <w:kern w:val="0"/>
                <w:sz w:val="24"/>
                <w:szCs w:val="24"/>
              </w:rPr>
              <w:t>教学实施。</w:t>
            </w:r>
            <w:r>
              <w:rPr>
                <w:rFonts w:hint="eastAsia" w:ascii="仿宋_GB2312" w:hAnsi="仿宋_GB2312" w:eastAsia="仿宋_GB2312" w:cs="仿宋_GB2312"/>
                <w:kern w:val="0"/>
                <w:sz w:val="24"/>
                <w:szCs w:val="24"/>
              </w:rPr>
              <w:t>主办高校要认真</w:t>
            </w:r>
            <w:r>
              <w:rPr>
                <w:rFonts w:hint="eastAsia" w:eastAsia="仿宋_GB2312"/>
                <w:kern w:val="0"/>
                <w:sz w:val="24"/>
                <w:szCs w:val="24"/>
              </w:rPr>
              <w:t>修订专业人才培养方案和课程教学大纲，制订线上教学和线下面授实施计划（课程表），线上教学全覆盖</w:t>
            </w:r>
            <w:r>
              <w:rPr>
                <w:rFonts w:eastAsia="仿宋_GB2312"/>
                <w:kern w:val="0"/>
                <w:sz w:val="24"/>
                <w:szCs w:val="24"/>
              </w:rPr>
              <w:t>，</w:t>
            </w:r>
            <w:r>
              <w:rPr>
                <w:rFonts w:hint="eastAsia" w:eastAsia="仿宋_GB2312"/>
                <w:kern w:val="0"/>
                <w:sz w:val="24"/>
                <w:szCs w:val="24"/>
              </w:rPr>
              <w:t>线下面授教学（含实践教学环节）</w:t>
            </w:r>
            <w:r>
              <w:rPr>
                <w:rFonts w:hint="eastAsia" w:ascii="仿宋_GB2312" w:hAnsi="仿宋_GB2312" w:eastAsia="仿宋_GB2312" w:cs="仿宋_GB2312"/>
                <w:kern w:val="0"/>
                <w:sz w:val="24"/>
                <w:szCs w:val="24"/>
              </w:rPr>
              <w:t>原则</w:t>
            </w:r>
            <w:r>
              <w:rPr>
                <w:rFonts w:hint="eastAsia" w:eastAsia="仿宋_GB2312"/>
                <w:kern w:val="0"/>
                <w:sz w:val="24"/>
                <w:szCs w:val="24"/>
              </w:rPr>
              <w:t>上不少于总学时的</w:t>
            </w:r>
            <w:r>
              <w:rPr>
                <w:rFonts w:hint="eastAsia" w:ascii="仿宋_GB2312" w:hAnsi="仿宋_GB2312" w:eastAsia="仿宋_GB2312" w:cs="仿宋_GB2312"/>
                <w:kern w:val="0"/>
                <w:sz w:val="24"/>
                <w:szCs w:val="24"/>
              </w:rPr>
              <w:t>20%</w:t>
            </w:r>
            <w:r>
              <w:rPr>
                <w:rFonts w:hint="eastAsia" w:eastAsia="仿宋_GB2312"/>
                <w:kern w:val="0"/>
                <w:sz w:val="24"/>
                <w:szCs w:val="24"/>
              </w:rPr>
              <w:t>。严格按照专业人才培养方案和课程教学大纲的要求组织、实施教学</w:t>
            </w:r>
            <w:r>
              <w:rPr>
                <w:rFonts w:hint="eastAsia" w:ascii="仿宋_GB2312" w:hAnsi="仿宋_GB2312" w:eastAsia="仿宋_GB2312" w:cs="仿宋_GB2312"/>
                <w:kern w:val="0"/>
                <w:sz w:val="24"/>
                <w:szCs w:val="24"/>
              </w:rPr>
              <w:t>，</w:t>
            </w:r>
            <w:r>
              <w:rPr>
                <w:rFonts w:hint="eastAsia" w:eastAsia="仿宋_GB2312"/>
                <w:kern w:val="0"/>
                <w:sz w:val="24"/>
                <w:szCs w:val="24"/>
              </w:rPr>
              <w:t>作业数量适当、难易适度</w:t>
            </w:r>
            <w:r>
              <w:rPr>
                <w:rFonts w:hint="eastAsia" w:ascii="仿宋_GB2312" w:hAnsi="仿宋_GB2312" w:eastAsia="仿宋_GB2312" w:cs="仿宋_GB2312"/>
                <w:kern w:val="0"/>
                <w:sz w:val="24"/>
                <w:szCs w:val="24"/>
              </w:rPr>
              <w:t>，</w:t>
            </w:r>
            <w:r>
              <w:rPr>
                <w:rFonts w:hint="eastAsia" w:eastAsia="仿宋_GB2312"/>
                <w:kern w:val="0"/>
                <w:sz w:val="24"/>
                <w:szCs w:val="24"/>
              </w:rPr>
              <w:t>各类教学档案材料完整。</w:t>
            </w:r>
          </w:p>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15.完善</w:t>
            </w:r>
            <w:r>
              <w:rPr>
                <w:rFonts w:hint="eastAsia" w:eastAsia="仿宋_GB2312"/>
                <w:b/>
                <w:bCs/>
                <w:kern w:val="0"/>
                <w:sz w:val="24"/>
                <w:szCs w:val="24"/>
              </w:rPr>
              <w:t>教学辅导。</w:t>
            </w:r>
            <w:r>
              <w:rPr>
                <w:rFonts w:hint="eastAsia" w:eastAsia="仿宋_GB2312"/>
                <w:kern w:val="0"/>
                <w:sz w:val="24"/>
                <w:szCs w:val="24"/>
              </w:rPr>
              <w:t>严格辅导教师聘任原则和流程，明确辅导教师职责。辅导教师认真负责，严格按实施计划开展辅导答疑</w:t>
            </w:r>
            <w:r>
              <w:rPr>
                <w:rFonts w:hint="eastAsia" w:ascii="仿宋_GB2312" w:hAnsi="仿宋_GB2312" w:eastAsia="仿宋_GB2312" w:cs="仿宋_GB2312"/>
                <w:kern w:val="0"/>
                <w:sz w:val="24"/>
                <w:szCs w:val="24"/>
              </w:rPr>
              <w:t>。</w:t>
            </w:r>
            <w:r>
              <w:rPr>
                <w:rFonts w:hint="eastAsia" w:eastAsia="仿宋_GB2312"/>
                <w:kern w:val="0"/>
                <w:sz w:val="24"/>
                <w:szCs w:val="24"/>
              </w:rPr>
              <w:t>辅导过程全程应有真实、可靠记录。</w:t>
            </w:r>
          </w:p>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16.</w:t>
            </w:r>
            <w:r>
              <w:rPr>
                <w:rFonts w:hint="eastAsia" w:eastAsia="仿宋_GB2312"/>
                <w:b/>
                <w:bCs/>
                <w:kern w:val="0"/>
                <w:sz w:val="24"/>
                <w:szCs w:val="24"/>
              </w:rPr>
              <w:t>严格考试管理。</w:t>
            </w:r>
            <w:r>
              <w:rPr>
                <w:rFonts w:hint="eastAsia" w:eastAsia="仿宋_GB2312"/>
                <w:kern w:val="0"/>
                <w:sz w:val="24"/>
                <w:szCs w:val="24"/>
              </w:rPr>
              <w:t>主办高校要建立完善的考试管理规章制度，要涵盖考试安全、考试纪律、考务组织、命题制卷、评卷等方面内容。同一门课程的考试，应统一命题、统一考试、统一阅卷；坚持线上考试与线下考试相结合，</w:t>
            </w:r>
            <w:r>
              <w:rPr>
                <w:rFonts w:hint="eastAsia" w:ascii="仿宋_GB2312" w:hAnsi="仿宋_GB2312" w:eastAsia="仿宋_GB2312" w:cs="仿宋_GB2312"/>
                <w:kern w:val="0"/>
                <w:sz w:val="24"/>
                <w:szCs w:val="24"/>
              </w:rPr>
              <w:t>以</w:t>
            </w:r>
            <w:r>
              <w:rPr>
                <w:rFonts w:hint="eastAsia" w:eastAsia="仿宋_GB2312"/>
                <w:kern w:val="0"/>
                <w:sz w:val="24"/>
                <w:szCs w:val="24"/>
              </w:rPr>
              <w:t>线下考试</w:t>
            </w:r>
            <w:r>
              <w:rPr>
                <w:rFonts w:hint="eastAsia" w:ascii="仿宋_GB2312" w:hAnsi="仿宋_GB2312" w:eastAsia="仿宋_GB2312" w:cs="仿宋_GB2312"/>
                <w:kern w:val="0"/>
                <w:sz w:val="24"/>
                <w:szCs w:val="24"/>
              </w:rPr>
              <w:t>为主</w:t>
            </w:r>
            <w:r>
              <w:rPr>
                <w:rFonts w:hint="eastAsia" w:eastAsia="仿宋_GB2312"/>
                <w:kern w:val="0"/>
                <w:sz w:val="24"/>
                <w:szCs w:val="24"/>
              </w:rPr>
              <w:t>，严肃考风考纪，</w:t>
            </w:r>
            <w:r>
              <w:rPr>
                <w:rFonts w:hint="eastAsia" w:eastAsia="仿宋_GB2312"/>
                <w:color w:val="auto"/>
                <w:kern w:val="0"/>
                <w:sz w:val="24"/>
                <w:szCs w:val="24"/>
              </w:rPr>
              <w:t>防范考试作弊。</w:t>
            </w:r>
          </w:p>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17.</w:t>
            </w:r>
            <w:r>
              <w:rPr>
                <w:rFonts w:hint="eastAsia" w:eastAsia="仿宋_GB2312"/>
                <w:b/>
                <w:bCs/>
                <w:kern w:val="0"/>
                <w:sz w:val="24"/>
                <w:szCs w:val="24"/>
              </w:rPr>
              <w:t>加强毕业论文（设计）管理。</w:t>
            </w:r>
            <w:r>
              <w:rPr>
                <w:rFonts w:hint="eastAsia" w:ascii="仿宋_GB2312" w:hAnsi="仿宋_GB2312" w:eastAsia="仿宋_GB2312" w:cs="仿宋_GB2312"/>
                <w:kern w:val="0"/>
                <w:sz w:val="24"/>
                <w:szCs w:val="24"/>
              </w:rPr>
              <w:t>主办高校要</w:t>
            </w:r>
            <w:r>
              <w:rPr>
                <w:rFonts w:hint="eastAsia" w:eastAsia="仿宋_GB2312"/>
                <w:kern w:val="0"/>
                <w:sz w:val="24"/>
                <w:szCs w:val="24"/>
              </w:rPr>
              <w:t>加强毕业论文（设计）指导与服务，确保全程指导、全员查重，原则上本科学生应全员答辩</w:t>
            </w:r>
            <w:r>
              <w:rPr>
                <w:rFonts w:hint="eastAsia" w:ascii="仿宋_GB2312" w:hAnsi="仿宋_GB2312" w:eastAsia="仿宋_GB2312" w:cs="仿宋_GB2312"/>
                <w:kern w:val="0"/>
                <w:sz w:val="24"/>
                <w:szCs w:val="24"/>
              </w:rPr>
              <w:t>。</w:t>
            </w:r>
            <w:r>
              <w:rPr>
                <w:rFonts w:hint="eastAsia" w:eastAsia="仿宋_GB2312"/>
                <w:kern w:val="0"/>
                <w:sz w:val="24"/>
                <w:szCs w:val="24"/>
              </w:rPr>
              <w:t>毕业论文（设计）的选题与评价应体现高等学历继续教育的特点，注重应用能力培养。严肃处理论文（设计）抄袭、代写等学术不端行为。</w:t>
            </w:r>
          </w:p>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18.</w:t>
            </w:r>
            <w:r>
              <w:rPr>
                <w:rFonts w:hint="eastAsia" w:eastAsia="仿宋_GB2312"/>
                <w:b/>
                <w:bCs/>
                <w:kern w:val="0"/>
                <w:sz w:val="24"/>
                <w:szCs w:val="24"/>
              </w:rPr>
              <w:t>严格学籍管理。</w:t>
            </w:r>
            <w:r>
              <w:rPr>
                <w:rFonts w:hint="eastAsia" w:ascii="仿宋_GB2312" w:hAnsi="仿宋_GB2312" w:eastAsia="仿宋_GB2312" w:cs="仿宋_GB2312"/>
                <w:kern w:val="0"/>
                <w:sz w:val="24"/>
                <w:szCs w:val="24"/>
              </w:rPr>
              <w:t>主办</w:t>
            </w:r>
            <w:r>
              <w:rPr>
                <w:rFonts w:hint="eastAsia" w:eastAsia="仿宋_GB2312"/>
                <w:kern w:val="0"/>
                <w:sz w:val="24"/>
                <w:szCs w:val="24"/>
              </w:rPr>
              <w:t>高校</w:t>
            </w:r>
            <w:r>
              <w:rPr>
                <w:rFonts w:hint="eastAsia" w:ascii="仿宋_GB2312" w:hAnsi="仿宋_GB2312" w:eastAsia="仿宋_GB2312" w:cs="仿宋_GB2312"/>
                <w:kern w:val="0"/>
                <w:sz w:val="24"/>
                <w:szCs w:val="24"/>
              </w:rPr>
              <w:t>要严格学籍学历管理，做好入学前、学习中、毕业前等阶段信息审查管理。</w:t>
            </w:r>
            <w:r>
              <w:rPr>
                <w:rFonts w:hint="eastAsia" w:eastAsia="仿宋_GB2312"/>
                <w:kern w:val="0"/>
                <w:sz w:val="24"/>
                <w:szCs w:val="24"/>
              </w:rPr>
              <w:t>对校外教学点学生学籍注册进行统一管理，所有学生学籍档案必须由所在高校保存。</w:t>
            </w:r>
          </w:p>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19.</w:t>
            </w:r>
            <w:r>
              <w:rPr>
                <w:rFonts w:hint="eastAsia" w:eastAsia="仿宋_GB2312"/>
                <w:b/>
                <w:bCs/>
                <w:kern w:val="0"/>
                <w:sz w:val="24"/>
                <w:szCs w:val="24"/>
              </w:rPr>
              <w:t>规范教学档案管理。</w:t>
            </w:r>
            <w:r>
              <w:rPr>
                <w:rFonts w:hint="eastAsia" w:eastAsia="仿宋_GB2312"/>
                <w:kern w:val="0"/>
                <w:sz w:val="24"/>
                <w:szCs w:val="24"/>
              </w:rPr>
              <w:t>制定教学档案管理办法，做到各类教学档案及时归档，教学安排、教师聘任、考试安排、课程试卷、考试成绩、毕业论文（设计）及教学检查、督导等相关材料严格按照相关规定妥善保管，做好相关档案保管、借阅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pPr>
              <w:snapToGrid w:val="0"/>
              <w:spacing w:line="320" w:lineRule="exact"/>
              <w:jc w:val="center"/>
              <w:rPr>
                <w:rFonts w:hint="eastAsia" w:eastAsia="仿宋_GB2312"/>
                <w:b/>
                <w:kern w:val="0"/>
                <w:sz w:val="24"/>
                <w:szCs w:val="24"/>
              </w:rPr>
            </w:pPr>
            <w:r>
              <w:rPr>
                <w:rFonts w:hint="eastAsia" w:ascii="仿宋_GB2312" w:hAnsi="仿宋_GB2312" w:eastAsia="仿宋_GB2312" w:cs="仿宋_GB2312"/>
                <w:b/>
                <w:kern w:val="0"/>
                <w:sz w:val="24"/>
                <w:szCs w:val="24"/>
              </w:rPr>
              <w:t>6</w:t>
            </w:r>
          </w:p>
        </w:tc>
        <w:tc>
          <w:tcPr>
            <w:tcW w:w="1268" w:type="dxa"/>
            <w:noWrap w:val="0"/>
            <w:vAlign w:val="center"/>
          </w:tcPr>
          <w:p>
            <w:pPr>
              <w:spacing w:line="320" w:lineRule="exact"/>
              <w:jc w:val="center"/>
              <w:rPr>
                <w:rFonts w:hint="eastAsia" w:eastAsia="仿宋_GB2312"/>
                <w:b/>
                <w:kern w:val="0"/>
                <w:sz w:val="24"/>
                <w:szCs w:val="24"/>
              </w:rPr>
            </w:pPr>
            <w:r>
              <w:rPr>
                <w:rFonts w:hint="eastAsia" w:eastAsia="仿宋_GB2312"/>
                <w:b/>
                <w:kern w:val="0"/>
                <w:sz w:val="24"/>
                <w:szCs w:val="24"/>
              </w:rPr>
              <w:t>严格教学要求</w:t>
            </w:r>
          </w:p>
        </w:tc>
        <w:tc>
          <w:tcPr>
            <w:tcW w:w="6840" w:type="dxa"/>
            <w:noWrap w:val="0"/>
            <w:vAlign w:val="top"/>
          </w:tcPr>
          <w:p>
            <w:pPr>
              <w:pStyle w:val="7"/>
              <w:snapToGrid w:val="0"/>
              <w:spacing w:line="320" w:lineRule="exact"/>
              <w:ind w:firstLine="0" w:firstLineChars="0"/>
              <w:rPr>
                <w:rFonts w:hint="eastAsia" w:eastAsia="仿宋_GB2312"/>
                <w:color w:val="FF0000"/>
                <w:kern w:val="0"/>
                <w:sz w:val="24"/>
                <w:szCs w:val="24"/>
              </w:rPr>
            </w:pPr>
            <w:r>
              <w:rPr>
                <w:rFonts w:hint="eastAsia" w:ascii="仿宋_GB2312" w:hAnsi="仿宋_GB2312" w:eastAsia="仿宋_GB2312" w:cs="仿宋_GB2312"/>
                <w:b/>
                <w:bCs/>
                <w:kern w:val="0"/>
                <w:sz w:val="24"/>
                <w:szCs w:val="24"/>
              </w:rPr>
              <w:t>20.</w:t>
            </w:r>
            <w:r>
              <w:rPr>
                <w:rFonts w:hint="eastAsia" w:eastAsia="仿宋_GB2312"/>
                <w:b/>
                <w:bCs/>
                <w:kern w:val="0"/>
                <w:sz w:val="24"/>
                <w:szCs w:val="24"/>
              </w:rPr>
              <w:t>规范人才培养方案。</w:t>
            </w:r>
            <w:r>
              <w:rPr>
                <w:rFonts w:hint="eastAsia" w:ascii="仿宋_GB2312" w:hAnsi="仿宋_GB2312" w:eastAsia="仿宋_GB2312" w:cs="仿宋_GB2312"/>
                <w:kern w:val="0"/>
                <w:sz w:val="24"/>
                <w:szCs w:val="24"/>
              </w:rPr>
              <w:t>主办高校要</w:t>
            </w:r>
            <w:r>
              <w:rPr>
                <w:rFonts w:hint="eastAsia" w:eastAsia="仿宋_GB2312"/>
                <w:kern w:val="0"/>
                <w:sz w:val="24"/>
                <w:szCs w:val="24"/>
              </w:rPr>
              <w:t>根据《普通高等学校学历继续教育人才培养方案编制工作指南》，参照现行《普通高等学校本科专业类教学质量国家标准》《高等职业学校专业教学标准》的要求和程序，规范和完善人才培养方案，科学确立学历继续教育人才培养目标、规格和培养方案，规范课程设置和教育组织实施，保证人才培养规格和质量</w:t>
            </w:r>
            <w:r>
              <w:rPr>
                <w:rFonts w:hint="eastAsia" w:eastAsia="仿宋_GB2312"/>
                <w:color w:val="FF0000"/>
                <w:kern w:val="0"/>
                <w:sz w:val="24"/>
                <w:szCs w:val="24"/>
              </w:rPr>
              <w:t>。</w:t>
            </w:r>
          </w:p>
          <w:p>
            <w:pPr>
              <w:pStyle w:val="7"/>
              <w:snapToGrid w:val="0"/>
              <w:spacing w:line="320" w:lineRule="exact"/>
              <w:ind w:firstLine="0" w:firstLineChars="0"/>
              <w:rPr>
                <w:rFonts w:hint="eastAsia" w:eastAsia="仿宋_GB2312"/>
                <w:kern w:val="0"/>
                <w:sz w:val="24"/>
                <w:szCs w:val="24"/>
              </w:rPr>
            </w:pPr>
            <w:r>
              <w:rPr>
                <w:rFonts w:hint="eastAsia" w:eastAsia="仿宋_GB2312"/>
                <w:b/>
                <w:bCs/>
                <w:kern w:val="0"/>
                <w:sz w:val="24"/>
                <w:szCs w:val="24"/>
              </w:rPr>
              <w:t>21.强化思想政治教育。</w:t>
            </w:r>
            <w:r>
              <w:rPr>
                <w:rFonts w:hint="eastAsia" w:eastAsia="仿宋_GB2312"/>
                <w:kern w:val="0"/>
                <w:sz w:val="24"/>
                <w:szCs w:val="24"/>
              </w:rPr>
              <w:t>主办高校要坚持把思想政治教育贯穿学历继续教育人才培养全过程，开齐开好思政课，推进思政课程与课程思政建设，实现学历继续教育思政课程与课程思政有效衔接。探索线上线下相结合的思政育人新模式，建立完善全员、全程、全方位的学历继续教育特色育人体制机制。</w:t>
            </w:r>
          </w:p>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22.</w:t>
            </w:r>
            <w:r>
              <w:rPr>
                <w:rFonts w:hint="eastAsia" w:eastAsia="仿宋_GB2312"/>
                <w:b/>
                <w:bCs/>
                <w:kern w:val="0"/>
                <w:sz w:val="24"/>
                <w:szCs w:val="24"/>
              </w:rPr>
              <w:t>明确培养目标方向</w:t>
            </w:r>
            <w:r>
              <w:rPr>
                <w:rFonts w:hint="eastAsia" w:eastAsia="仿宋_GB2312"/>
                <w:kern w:val="0"/>
                <w:sz w:val="24"/>
                <w:szCs w:val="24"/>
              </w:rPr>
              <w:t>。结合学校办学定位、专业特色及学习者个性化需求，合理确定符合经济社会发展方向的专业培养目标和培养规格，突出人才培养的职业性、应用性和前瞻性，服务经济社会需要和人的全面发展。</w:t>
            </w:r>
          </w:p>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23.</w:t>
            </w:r>
            <w:r>
              <w:rPr>
                <w:rFonts w:hint="eastAsia" w:eastAsia="仿宋_GB2312"/>
                <w:b/>
                <w:bCs/>
                <w:kern w:val="0"/>
                <w:sz w:val="24"/>
                <w:szCs w:val="24"/>
              </w:rPr>
              <w:t>明确教学内容设计。</w:t>
            </w:r>
            <w:r>
              <w:rPr>
                <w:rFonts w:hint="eastAsia" w:eastAsia="仿宋_GB2312"/>
                <w:kern w:val="0"/>
                <w:sz w:val="24"/>
                <w:szCs w:val="24"/>
              </w:rPr>
              <w:t>明确规定课程必须掌握的知识、技能与能力</w:t>
            </w:r>
            <w:r>
              <w:rPr>
                <w:rFonts w:hint="eastAsia" w:ascii="仿宋_GB2312" w:hAnsi="仿宋_GB2312" w:eastAsia="仿宋_GB2312" w:cs="仿宋_GB2312"/>
                <w:kern w:val="0"/>
                <w:sz w:val="24"/>
                <w:szCs w:val="24"/>
              </w:rPr>
              <w:t>，</w:t>
            </w:r>
            <w:r>
              <w:rPr>
                <w:rFonts w:hint="eastAsia" w:eastAsia="仿宋_GB2312"/>
                <w:kern w:val="0"/>
                <w:sz w:val="24"/>
                <w:szCs w:val="24"/>
              </w:rPr>
              <w:t>合理安排教学内容，做到分量适当、深广适宜。加强公共基础课与专业课的衔接，专升本专业须结合专科课程体系要求，按照本科课程设置要求合理确定所开设课程和内容，确保相关课程的贯通衔接。</w:t>
            </w:r>
          </w:p>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24.</w:t>
            </w:r>
            <w:r>
              <w:rPr>
                <w:rFonts w:hint="eastAsia" w:eastAsia="仿宋_GB2312"/>
                <w:b/>
                <w:bCs/>
                <w:kern w:val="0"/>
                <w:sz w:val="24"/>
                <w:szCs w:val="24"/>
              </w:rPr>
              <w:t>明确考核评价方式。</w:t>
            </w:r>
            <w:r>
              <w:rPr>
                <w:rFonts w:hint="eastAsia" w:eastAsia="仿宋_GB2312"/>
                <w:kern w:val="0"/>
                <w:sz w:val="24"/>
                <w:szCs w:val="24"/>
              </w:rPr>
              <w:t>课程考核要立足课程特点和基本要求，将过程性考核（平时作业）与终结性考核（期末考试）相结合</w:t>
            </w:r>
            <w:r>
              <w:rPr>
                <w:rFonts w:hint="eastAsia" w:ascii="仿宋_GB2312" w:hAnsi="仿宋_GB2312" w:eastAsia="仿宋_GB2312" w:cs="仿宋_GB2312"/>
                <w:kern w:val="0"/>
                <w:sz w:val="24"/>
                <w:szCs w:val="24"/>
              </w:rPr>
              <w:t>。</w:t>
            </w:r>
            <w:r>
              <w:rPr>
                <w:rFonts w:hint="eastAsia" w:eastAsia="仿宋_GB2312"/>
                <w:kern w:val="0"/>
                <w:sz w:val="24"/>
                <w:szCs w:val="24"/>
              </w:rPr>
              <w:t>公共基础课和专业课的期末考试原则上应为闭卷考试</w:t>
            </w:r>
            <w:r>
              <w:rPr>
                <w:rFonts w:hint="eastAsia" w:ascii="仿宋_GB2312" w:hAnsi="仿宋_GB2312" w:eastAsia="仿宋_GB2312" w:cs="仿宋_GB2312"/>
                <w:kern w:val="0"/>
                <w:sz w:val="24"/>
                <w:szCs w:val="24"/>
              </w:rPr>
              <w:t>。</w:t>
            </w:r>
            <w:r>
              <w:rPr>
                <w:rFonts w:hint="eastAsia" w:eastAsia="仿宋_GB2312"/>
                <w:kern w:val="0"/>
                <w:sz w:val="24"/>
                <w:szCs w:val="24"/>
              </w:rPr>
              <w:t>明确规定课程的考核方式和成绩的构成，明确规定期末考核成绩、学习过程评价成绩等在总成绩中的比例，课程期末考试成绩占总成绩比例原则上不低于</w:t>
            </w:r>
            <w:r>
              <w:rPr>
                <w:rFonts w:hint="eastAsia" w:ascii="仿宋_GB2312" w:hAnsi="仿宋_GB2312" w:eastAsia="仿宋_GB2312" w:cs="仿宋_GB2312"/>
                <w:color w:val="auto"/>
                <w:kern w:val="0"/>
                <w:sz w:val="24"/>
                <w:szCs w:val="24"/>
              </w:rPr>
              <w:t>60%、不超过80%</w:t>
            </w:r>
            <w:r>
              <w:rPr>
                <w:rFonts w:hint="eastAsia" w:eastAsia="仿宋_GB2312"/>
                <w:color w:val="auto"/>
                <w:kern w:val="0"/>
                <w:sz w:val="24"/>
                <w:szCs w:val="24"/>
              </w:rPr>
              <w:t>。</w:t>
            </w:r>
          </w:p>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kern w:val="0"/>
                <w:sz w:val="24"/>
                <w:szCs w:val="24"/>
              </w:rPr>
              <w:t>25.</w:t>
            </w:r>
            <w:r>
              <w:rPr>
                <w:rFonts w:hint="eastAsia" w:eastAsia="仿宋_GB2312"/>
                <w:b/>
                <w:kern w:val="0"/>
                <w:sz w:val="24"/>
                <w:szCs w:val="24"/>
              </w:rPr>
              <w:t>明确毕业要求和学位授予条件</w:t>
            </w:r>
            <w:r>
              <w:rPr>
                <w:rFonts w:hint="eastAsia" w:eastAsia="仿宋_GB2312"/>
                <w:kern w:val="0"/>
                <w:sz w:val="24"/>
                <w:szCs w:val="24"/>
              </w:rPr>
              <w:t>。</w:t>
            </w:r>
            <w:r>
              <w:rPr>
                <w:rFonts w:hint="eastAsia" w:ascii="仿宋_GB2312" w:hAnsi="仿宋_GB2312" w:eastAsia="仿宋_GB2312" w:cs="仿宋_GB2312"/>
                <w:kern w:val="0"/>
                <w:sz w:val="24"/>
                <w:szCs w:val="24"/>
              </w:rPr>
              <w:t>主办高校</w:t>
            </w:r>
            <w:r>
              <w:rPr>
                <w:rFonts w:hint="eastAsia" w:eastAsia="仿宋_GB2312"/>
                <w:kern w:val="0"/>
                <w:sz w:val="24"/>
                <w:szCs w:val="24"/>
              </w:rPr>
              <w:t>要根据国家有关规定、专业培养目标和培养规格，结合成人在职学习特点等进一步细化、明确学生毕业要求。严把学位授予关，本科专业参照本校全日制学生毕业要求，完善学位授予实施细则，明确学士学位授予条件，严格组织学业水平测试</w:t>
            </w:r>
            <w:r>
              <w:rPr>
                <w:rFonts w:eastAsia="仿宋_GB2312"/>
                <w:kern w:val="0"/>
                <w:sz w:val="24"/>
                <w:szCs w:val="24"/>
              </w:rPr>
              <w:t>，</w:t>
            </w:r>
            <w:r>
              <w:rPr>
                <w:rFonts w:hint="eastAsia" w:eastAsia="仿宋_GB2312"/>
                <w:kern w:val="0"/>
                <w:sz w:val="24"/>
                <w:szCs w:val="24"/>
              </w:rPr>
              <w:t>严把学位授予关。</w:t>
            </w:r>
          </w:p>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26.</w:t>
            </w:r>
            <w:r>
              <w:rPr>
                <w:rFonts w:hint="eastAsia" w:eastAsia="仿宋_GB2312"/>
                <w:b/>
                <w:bCs/>
                <w:kern w:val="0"/>
                <w:sz w:val="24"/>
                <w:szCs w:val="24"/>
              </w:rPr>
              <w:t>配足配好师资力量。</w:t>
            </w:r>
            <w:r>
              <w:rPr>
                <w:rFonts w:hint="eastAsia" w:ascii="仿宋_GB2312" w:hAnsi="仿宋_GB2312" w:eastAsia="仿宋_GB2312" w:cs="仿宋_GB2312"/>
                <w:kern w:val="0"/>
                <w:sz w:val="24"/>
                <w:szCs w:val="24"/>
              </w:rPr>
              <w:t>主办高校要</w:t>
            </w:r>
            <w:r>
              <w:rPr>
                <w:rFonts w:hint="eastAsia" w:eastAsia="仿宋_GB2312"/>
                <w:kern w:val="0"/>
                <w:sz w:val="24"/>
                <w:szCs w:val="24"/>
              </w:rPr>
              <w:t>加强专兼职结合的学历继续教育教师队伍建设，本校专任教师占主讲教师的比例不低于</w:t>
            </w:r>
            <w:r>
              <w:rPr>
                <w:rFonts w:hint="eastAsia" w:ascii="仿宋_GB2312" w:hAnsi="仿宋_GB2312" w:eastAsia="仿宋_GB2312" w:cs="仿宋_GB2312"/>
                <w:kern w:val="0"/>
                <w:sz w:val="24"/>
                <w:szCs w:val="24"/>
              </w:rPr>
              <w:t>60%，</w:t>
            </w:r>
            <w:r>
              <w:rPr>
                <w:rFonts w:hint="eastAsia" w:eastAsia="仿宋_GB2312"/>
                <w:kern w:val="0"/>
                <w:sz w:val="24"/>
                <w:szCs w:val="24"/>
              </w:rPr>
              <w:t>专任教师和兼职教师中副高级及以上专业技术职务比例均不低于</w:t>
            </w:r>
            <w:r>
              <w:rPr>
                <w:rFonts w:hint="eastAsia" w:ascii="仿宋_GB2312" w:hAnsi="仿宋_GB2312" w:eastAsia="仿宋_GB2312" w:cs="仿宋_GB2312"/>
                <w:kern w:val="0"/>
                <w:sz w:val="24"/>
                <w:szCs w:val="24"/>
              </w:rPr>
              <w:t>30%</w:t>
            </w:r>
            <w:r>
              <w:rPr>
                <w:rFonts w:hint="eastAsia" w:eastAsia="仿宋_GB2312"/>
                <w:kern w:val="0"/>
                <w:sz w:val="24"/>
                <w:szCs w:val="24"/>
              </w:rPr>
              <w:t>。主讲教师、辅导教师、管理人员数与在籍学生数比例分别不低于</w:t>
            </w:r>
            <w:r>
              <w:rPr>
                <w:rFonts w:hint="eastAsia" w:ascii="仿宋_GB2312" w:hAnsi="仿宋_GB2312" w:eastAsia="仿宋_GB2312" w:cs="仿宋_GB2312"/>
                <w:kern w:val="0"/>
                <w:sz w:val="24"/>
                <w:szCs w:val="24"/>
              </w:rPr>
              <w:t>1∶200、1∶100和1∶200。</w:t>
            </w:r>
            <w:r>
              <w:rPr>
                <w:rFonts w:hint="eastAsia" w:eastAsia="仿宋_GB2312"/>
                <w:kern w:val="0"/>
                <w:sz w:val="24"/>
                <w:szCs w:val="24"/>
              </w:rPr>
              <w:t>加强学历继续教育班主任队伍建设，建立统一的管理制度。</w:t>
            </w:r>
          </w:p>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27.</w:t>
            </w:r>
            <w:r>
              <w:rPr>
                <w:rFonts w:hint="eastAsia" w:eastAsia="仿宋_GB2312"/>
                <w:b/>
                <w:bCs/>
                <w:kern w:val="0"/>
                <w:sz w:val="24"/>
                <w:szCs w:val="24"/>
              </w:rPr>
              <w:t>加强师德师风建设。</w:t>
            </w:r>
            <w:r>
              <w:rPr>
                <w:rFonts w:hint="eastAsia" w:ascii="仿宋_GB2312" w:hAnsi="仿宋_GB2312" w:eastAsia="仿宋_GB2312" w:cs="仿宋_GB2312"/>
                <w:kern w:val="0"/>
                <w:sz w:val="24"/>
                <w:szCs w:val="24"/>
              </w:rPr>
              <w:t>主办高校要</w:t>
            </w:r>
            <w:r>
              <w:rPr>
                <w:rFonts w:hint="eastAsia" w:eastAsia="仿宋_GB2312"/>
                <w:kern w:val="0"/>
                <w:sz w:val="24"/>
                <w:szCs w:val="24"/>
              </w:rPr>
              <w:t>坚持党建引领</w:t>
            </w:r>
            <w:r>
              <w:rPr>
                <w:rFonts w:hint="eastAsia" w:ascii="仿宋_GB2312" w:hAnsi="仿宋_GB2312" w:eastAsia="仿宋_GB2312" w:cs="仿宋_GB2312"/>
                <w:kern w:val="0"/>
                <w:sz w:val="24"/>
                <w:szCs w:val="24"/>
              </w:rPr>
              <w:t>、</w:t>
            </w:r>
            <w:r>
              <w:rPr>
                <w:rFonts w:hint="eastAsia" w:eastAsia="仿宋_GB2312"/>
                <w:kern w:val="0"/>
                <w:sz w:val="24"/>
                <w:szCs w:val="24"/>
              </w:rPr>
              <w:t>思想铸魂</w:t>
            </w:r>
            <w:r>
              <w:rPr>
                <w:rFonts w:hint="eastAsia" w:ascii="仿宋_GB2312" w:hAnsi="仿宋_GB2312" w:eastAsia="仿宋_GB2312" w:cs="仿宋_GB2312"/>
                <w:kern w:val="0"/>
                <w:sz w:val="24"/>
                <w:szCs w:val="24"/>
              </w:rPr>
              <w:t>和</w:t>
            </w:r>
            <w:r>
              <w:rPr>
                <w:rFonts w:hint="eastAsia" w:eastAsia="仿宋_GB2312"/>
                <w:kern w:val="0"/>
                <w:sz w:val="24"/>
                <w:szCs w:val="24"/>
              </w:rPr>
              <w:t>价值导向，全面提升教师思想政治素质和职业道德水平，设立课程教师的资格要求，建立教师选聘资格审核机制，将聘任的兼职教师、辅导教师统一纳入学校师资队伍发展规划和管理。</w:t>
            </w:r>
          </w:p>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28.</w:t>
            </w:r>
            <w:r>
              <w:rPr>
                <w:rFonts w:hint="eastAsia" w:eastAsia="仿宋_GB2312"/>
                <w:b/>
                <w:bCs/>
                <w:kern w:val="0"/>
                <w:sz w:val="24"/>
                <w:szCs w:val="24"/>
              </w:rPr>
              <w:t>创新教学模式。</w:t>
            </w:r>
            <w:r>
              <w:rPr>
                <w:rFonts w:hint="eastAsia" w:ascii="仿宋_GB2312" w:hAnsi="仿宋_GB2312" w:eastAsia="仿宋_GB2312" w:cs="仿宋_GB2312"/>
                <w:kern w:val="0"/>
                <w:sz w:val="24"/>
                <w:szCs w:val="24"/>
              </w:rPr>
              <w:t>主办高校要</w:t>
            </w:r>
            <w:r>
              <w:rPr>
                <w:rFonts w:hint="eastAsia" w:eastAsia="仿宋_GB2312"/>
                <w:kern w:val="0"/>
                <w:sz w:val="24"/>
                <w:szCs w:val="24"/>
              </w:rPr>
              <w:t>适应成人在职学习需求和认知规律，结合学校专业特色及生源多样化特点等，探索灵活多样的人才培养模式。完善线上线下相结合，自主学习与辅导答疑相结合的混合式教学模式，合理安排课程结构和内容，落实实验实训，探索灵活多样的人才培养模式</w:t>
            </w:r>
            <w:r>
              <w:rPr>
                <w:rFonts w:hint="eastAsia" w:ascii="仿宋_GB2312" w:hAnsi="仿宋_GB2312" w:eastAsia="仿宋_GB2312" w:cs="仿宋_GB2312"/>
                <w:kern w:val="0"/>
                <w:sz w:val="24"/>
                <w:szCs w:val="24"/>
              </w:rPr>
              <w:t>。</w:t>
            </w:r>
          </w:p>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29.</w:t>
            </w:r>
            <w:r>
              <w:rPr>
                <w:rFonts w:hint="eastAsia" w:eastAsia="仿宋_GB2312"/>
                <w:b/>
                <w:bCs/>
                <w:kern w:val="0"/>
                <w:sz w:val="24"/>
                <w:szCs w:val="24"/>
              </w:rPr>
              <w:t>推进融合发展。</w:t>
            </w:r>
            <w:r>
              <w:rPr>
                <w:rFonts w:hint="eastAsia" w:eastAsia="仿宋_GB2312"/>
                <w:kern w:val="0"/>
                <w:sz w:val="24"/>
                <w:szCs w:val="24"/>
              </w:rPr>
              <w:t>建立、完善学校学历继续教育与非学历教育和职业教育学习成果的认定及转换机制。促进学历继续教育与非学历教育、普通本科教育、高等职业教育之间的学习成果认定、积累与转换。统筹职业教育、高等教育、继续教育协同创新</w:t>
            </w:r>
            <w:r>
              <w:rPr>
                <w:rFonts w:hint="eastAsia" w:ascii="仿宋_GB2312" w:hAnsi="仿宋_GB2312" w:eastAsia="仿宋_GB2312" w:cs="仿宋_GB2312"/>
                <w:kern w:val="0"/>
                <w:sz w:val="24"/>
                <w:szCs w:val="24"/>
              </w:rPr>
              <w:t>发展</w:t>
            </w:r>
            <w:r>
              <w:rPr>
                <w:rFonts w:hint="eastAsia" w:eastAsia="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pPr>
              <w:snapToGrid w:val="0"/>
              <w:spacing w:line="320" w:lineRule="exact"/>
              <w:jc w:val="center"/>
              <w:rPr>
                <w:rFonts w:hint="eastAsia" w:eastAsia="仿宋_GB2312"/>
                <w:b/>
                <w:kern w:val="0"/>
                <w:sz w:val="24"/>
                <w:szCs w:val="24"/>
              </w:rPr>
            </w:pPr>
            <w:r>
              <w:rPr>
                <w:rFonts w:hint="eastAsia" w:ascii="仿宋_GB2312" w:hAnsi="仿宋_GB2312" w:eastAsia="仿宋_GB2312" w:cs="仿宋_GB2312"/>
                <w:b/>
                <w:kern w:val="0"/>
                <w:sz w:val="24"/>
                <w:szCs w:val="24"/>
              </w:rPr>
              <w:t>7</w:t>
            </w:r>
          </w:p>
        </w:tc>
        <w:tc>
          <w:tcPr>
            <w:tcW w:w="1268" w:type="dxa"/>
            <w:noWrap w:val="0"/>
            <w:vAlign w:val="center"/>
          </w:tcPr>
          <w:p>
            <w:pPr>
              <w:snapToGrid w:val="0"/>
              <w:spacing w:line="320" w:lineRule="exact"/>
              <w:jc w:val="center"/>
              <w:rPr>
                <w:rFonts w:hint="eastAsia" w:eastAsia="仿宋_GB2312"/>
                <w:b/>
                <w:kern w:val="0"/>
                <w:sz w:val="24"/>
                <w:szCs w:val="24"/>
              </w:rPr>
            </w:pPr>
            <w:r>
              <w:rPr>
                <w:rFonts w:hint="eastAsia" w:eastAsia="仿宋_GB2312"/>
                <w:b/>
                <w:kern w:val="0"/>
                <w:sz w:val="24"/>
                <w:szCs w:val="24"/>
              </w:rPr>
              <w:t>规范校外教学点设置管理</w:t>
            </w:r>
          </w:p>
        </w:tc>
        <w:tc>
          <w:tcPr>
            <w:tcW w:w="6840" w:type="dxa"/>
            <w:noWrap w:val="0"/>
            <w:vAlign w:val="top"/>
          </w:tcPr>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30.</w:t>
            </w:r>
            <w:r>
              <w:rPr>
                <w:rFonts w:hint="eastAsia" w:eastAsia="仿宋_GB2312"/>
                <w:b/>
                <w:bCs/>
                <w:kern w:val="0"/>
                <w:sz w:val="24"/>
                <w:szCs w:val="24"/>
              </w:rPr>
              <w:t>严格校外教学点设置。</w:t>
            </w:r>
            <w:r>
              <w:rPr>
                <w:rFonts w:hint="eastAsia" w:eastAsia="仿宋_GB2312"/>
                <w:kern w:val="0"/>
                <w:sz w:val="24"/>
                <w:szCs w:val="24"/>
              </w:rPr>
              <w:t>主办高校要按照教育部</w:t>
            </w:r>
            <w:r>
              <w:rPr>
                <w:rFonts w:hint="eastAsia" w:ascii="仿宋_GB2312" w:hAnsi="仿宋_GB2312" w:eastAsia="仿宋_GB2312" w:cs="仿宋_GB2312"/>
                <w:kern w:val="0"/>
                <w:sz w:val="24"/>
                <w:szCs w:val="24"/>
              </w:rPr>
              <w:t>和</w:t>
            </w:r>
            <w:r>
              <w:rPr>
                <w:rFonts w:hint="eastAsia" w:eastAsia="仿宋_GB2312"/>
                <w:kern w:val="0"/>
                <w:sz w:val="24"/>
                <w:szCs w:val="24"/>
              </w:rPr>
              <w:t>省</w:t>
            </w:r>
            <w:r>
              <w:rPr>
                <w:rFonts w:hint="eastAsia" w:ascii="仿宋_GB2312" w:hAnsi="仿宋_GB2312" w:eastAsia="仿宋_GB2312" w:cs="仿宋_GB2312"/>
                <w:kern w:val="0"/>
                <w:sz w:val="24"/>
                <w:szCs w:val="24"/>
              </w:rPr>
              <w:t>教育厅关于</w:t>
            </w:r>
            <w:r>
              <w:rPr>
                <w:rFonts w:hint="eastAsia" w:eastAsia="仿宋_GB2312"/>
                <w:kern w:val="0"/>
                <w:sz w:val="24"/>
                <w:szCs w:val="24"/>
              </w:rPr>
              <w:t>高</w:t>
            </w:r>
            <w:r>
              <w:rPr>
                <w:rFonts w:hint="eastAsia" w:ascii="仿宋_GB2312" w:hAnsi="仿宋_GB2312" w:eastAsia="仿宋_GB2312" w:cs="仿宋_GB2312"/>
                <w:kern w:val="0"/>
                <w:sz w:val="24"/>
                <w:szCs w:val="24"/>
              </w:rPr>
              <w:t>校</w:t>
            </w:r>
            <w:r>
              <w:rPr>
                <w:rFonts w:hint="eastAsia" w:eastAsia="仿宋_GB2312"/>
                <w:kern w:val="0"/>
                <w:sz w:val="24"/>
                <w:szCs w:val="24"/>
              </w:rPr>
              <w:t>校外教学点设置</w:t>
            </w:r>
            <w:r>
              <w:rPr>
                <w:rFonts w:hint="eastAsia" w:ascii="仿宋_GB2312" w:hAnsi="仿宋_GB2312" w:eastAsia="仿宋_GB2312" w:cs="仿宋_GB2312"/>
                <w:kern w:val="0"/>
                <w:sz w:val="24"/>
                <w:szCs w:val="24"/>
              </w:rPr>
              <w:t>与</w:t>
            </w:r>
            <w:r>
              <w:rPr>
                <w:rFonts w:hint="eastAsia" w:eastAsia="仿宋_GB2312"/>
                <w:kern w:val="0"/>
                <w:sz w:val="24"/>
                <w:szCs w:val="24"/>
              </w:rPr>
              <w:t>管理</w:t>
            </w:r>
            <w:r>
              <w:rPr>
                <w:rFonts w:hint="eastAsia" w:ascii="仿宋_GB2312" w:hAnsi="仿宋_GB2312" w:eastAsia="仿宋_GB2312" w:cs="仿宋_GB2312"/>
                <w:kern w:val="0"/>
                <w:sz w:val="24"/>
                <w:szCs w:val="24"/>
              </w:rPr>
              <w:t>的相关</w:t>
            </w:r>
            <w:r>
              <w:rPr>
                <w:rFonts w:hint="eastAsia" w:eastAsia="仿宋_GB2312"/>
                <w:kern w:val="0"/>
                <w:sz w:val="24"/>
                <w:szCs w:val="24"/>
              </w:rPr>
              <w:t>要求，将校外教学点建设纳入学校党委重要议事日程，明确设点程序、要求和条件，控制布点数量和范围，确保管得住、管得好。</w:t>
            </w:r>
          </w:p>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31.</w:t>
            </w:r>
            <w:r>
              <w:rPr>
                <w:rFonts w:hint="eastAsia" w:eastAsia="仿宋_GB2312"/>
                <w:b/>
                <w:bCs/>
                <w:kern w:val="0"/>
                <w:sz w:val="24"/>
                <w:szCs w:val="24"/>
              </w:rPr>
              <w:t>压实责任链条</w:t>
            </w:r>
            <w:r>
              <w:rPr>
                <w:rFonts w:hint="eastAsia" w:eastAsia="仿宋_GB2312"/>
                <w:kern w:val="0"/>
                <w:sz w:val="24"/>
                <w:szCs w:val="24"/>
              </w:rPr>
              <w:t>。压实主办高校办学主体责任，建立健全管理制度和监管机制，联合学校财务、审计、教务、教师管理、学生管理、巡视巡察、纪检监察等部门定期开展校外教学点检查评估。学校与设点单位签署的设点协议，须经学校归口管理部门统一审定，由学校法定代表人或者授权签字人签字，加盖学校公章。设点单位负责配合高校做好校外教学点的日常管理。校外教学点</w:t>
            </w:r>
            <w:r>
              <w:rPr>
                <w:rFonts w:hint="eastAsia" w:ascii="仿宋_GB2312" w:hAnsi="仿宋_GB2312" w:eastAsia="仿宋_GB2312" w:cs="仿宋_GB2312"/>
                <w:kern w:val="0"/>
                <w:sz w:val="24"/>
                <w:szCs w:val="24"/>
              </w:rPr>
              <w:t>要</w:t>
            </w:r>
            <w:r>
              <w:rPr>
                <w:rFonts w:hint="eastAsia" w:eastAsia="仿宋_GB2312"/>
                <w:kern w:val="0"/>
                <w:sz w:val="24"/>
                <w:szCs w:val="24"/>
              </w:rPr>
              <w:t>配合学校做好教育</w:t>
            </w:r>
            <w:r>
              <w:rPr>
                <w:rFonts w:hint="eastAsia" w:ascii="仿宋_GB2312" w:hAnsi="仿宋_GB2312" w:eastAsia="仿宋_GB2312" w:cs="仿宋_GB2312"/>
                <w:kern w:val="0"/>
                <w:sz w:val="24"/>
                <w:szCs w:val="24"/>
              </w:rPr>
              <w:t>教学、</w:t>
            </w:r>
            <w:r>
              <w:rPr>
                <w:rFonts w:hint="eastAsia" w:eastAsia="仿宋_GB2312"/>
                <w:kern w:val="0"/>
                <w:sz w:val="24"/>
                <w:szCs w:val="24"/>
              </w:rPr>
              <w:t>学生管理</w:t>
            </w:r>
            <w:r>
              <w:rPr>
                <w:rFonts w:hint="eastAsia" w:ascii="仿宋_GB2312" w:hAnsi="仿宋_GB2312" w:eastAsia="仿宋_GB2312" w:cs="仿宋_GB2312"/>
                <w:kern w:val="0"/>
                <w:sz w:val="24"/>
                <w:szCs w:val="24"/>
              </w:rPr>
              <w:t>与服务及</w:t>
            </w:r>
            <w:r>
              <w:rPr>
                <w:rFonts w:hint="eastAsia" w:eastAsia="仿宋_GB2312"/>
                <w:kern w:val="0"/>
                <w:sz w:val="24"/>
                <w:szCs w:val="24"/>
              </w:rPr>
              <w:t>安全管理等工作。</w:t>
            </w:r>
          </w:p>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32.</w:t>
            </w:r>
            <w:r>
              <w:rPr>
                <w:rFonts w:hint="eastAsia" w:eastAsia="仿宋_GB2312"/>
                <w:b/>
                <w:bCs/>
                <w:kern w:val="0"/>
                <w:sz w:val="24"/>
                <w:szCs w:val="24"/>
              </w:rPr>
              <w:t>加强学费管理。</w:t>
            </w:r>
            <w:r>
              <w:rPr>
                <w:rFonts w:hint="eastAsia" w:eastAsia="仿宋_GB2312"/>
                <w:kern w:val="0"/>
                <w:sz w:val="24"/>
                <w:szCs w:val="24"/>
              </w:rPr>
              <w:t>主办高校应将高等学历继续教育所有收入纳入学校预算，统一核算，统一管理，学费应由学生全额直接上缴高校财务账户，任何单位和个人不得隐瞒、截留、占用、挪用和坐支。学校不得授权或者委托任何单位和个人代收费，不得超标准收费，严禁搭车收费。校外教学点要建立完善经费使用管理办法，加大办学投入，不断改善办学条件。</w:t>
            </w:r>
          </w:p>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33.</w:t>
            </w:r>
            <w:r>
              <w:rPr>
                <w:rFonts w:eastAsia="仿宋_GB2312"/>
                <w:b/>
                <w:bCs/>
                <w:kern w:val="0"/>
                <w:sz w:val="24"/>
                <w:szCs w:val="24"/>
              </w:rPr>
              <w:t>强化</w:t>
            </w:r>
            <w:r>
              <w:rPr>
                <w:rFonts w:hint="eastAsia" w:eastAsia="仿宋_GB2312"/>
                <w:b/>
                <w:bCs/>
                <w:kern w:val="0"/>
                <w:sz w:val="24"/>
                <w:szCs w:val="24"/>
              </w:rPr>
              <w:t>教学保障。</w:t>
            </w:r>
            <w:r>
              <w:rPr>
                <w:rFonts w:hint="eastAsia" w:eastAsia="仿宋_GB2312"/>
                <w:kern w:val="0"/>
                <w:sz w:val="24"/>
                <w:szCs w:val="24"/>
              </w:rPr>
              <w:t>鼓励有条件的主办高校通过校本部集中面授与线上教学相结合的方式举办非脱产形式的学历继续教育。校本部和每个校外教学点应具有满足面授教学需要的教学用房、实验实训设备等。校外教学点教学场所总面积不小于</w:t>
            </w:r>
            <w:r>
              <w:rPr>
                <w:rFonts w:hint="eastAsia" w:ascii="仿宋_GB2312" w:hAnsi="仿宋_GB2312" w:eastAsia="仿宋_GB2312" w:cs="仿宋_GB2312"/>
                <w:kern w:val="0"/>
                <w:sz w:val="24"/>
                <w:szCs w:val="24"/>
              </w:rPr>
              <w:t>500</w:t>
            </w:r>
            <w:r>
              <w:rPr>
                <w:rFonts w:hint="eastAsia" w:eastAsia="仿宋_GB2312"/>
                <w:kern w:val="0"/>
                <w:sz w:val="24"/>
                <w:szCs w:val="24"/>
              </w:rPr>
              <w:t>平方米（学生规模为</w:t>
            </w:r>
            <w:r>
              <w:rPr>
                <w:rFonts w:hint="eastAsia" w:ascii="仿宋_GB2312" w:hAnsi="仿宋_GB2312" w:eastAsia="仿宋_GB2312" w:cs="仿宋_GB2312"/>
                <w:kern w:val="0"/>
                <w:sz w:val="24"/>
                <w:szCs w:val="24"/>
              </w:rPr>
              <w:t>200</w:t>
            </w:r>
            <w:r>
              <w:rPr>
                <w:rFonts w:hint="eastAsia" w:eastAsia="仿宋_GB2312"/>
                <w:kern w:val="0"/>
                <w:sz w:val="24"/>
                <w:szCs w:val="24"/>
              </w:rPr>
              <w:t>人以下），学生规模每增加</w:t>
            </w:r>
            <w:r>
              <w:rPr>
                <w:rFonts w:hint="eastAsia" w:ascii="仿宋_GB2312" w:hAnsi="仿宋_GB2312" w:eastAsia="仿宋_GB2312" w:cs="仿宋_GB2312"/>
                <w:kern w:val="0"/>
                <w:sz w:val="24"/>
                <w:szCs w:val="24"/>
              </w:rPr>
              <w:t>100</w:t>
            </w:r>
            <w:r>
              <w:rPr>
                <w:rFonts w:hint="eastAsia" w:eastAsia="仿宋_GB2312"/>
                <w:kern w:val="0"/>
                <w:sz w:val="24"/>
                <w:szCs w:val="24"/>
              </w:rPr>
              <w:t>人，教学场所总面积增加</w:t>
            </w:r>
            <w:r>
              <w:rPr>
                <w:rFonts w:hint="eastAsia" w:ascii="仿宋_GB2312" w:hAnsi="仿宋_GB2312" w:eastAsia="仿宋_GB2312" w:cs="仿宋_GB2312"/>
                <w:kern w:val="0"/>
                <w:sz w:val="24"/>
                <w:szCs w:val="24"/>
              </w:rPr>
              <w:t>50</w:t>
            </w:r>
            <w:r>
              <w:rPr>
                <w:rFonts w:hint="eastAsia" w:eastAsia="仿宋_GB2312"/>
                <w:kern w:val="0"/>
                <w:sz w:val="24"/>
                <w:szCs w:val="24"/>
              </w:rPr>
              <w:t>平方米；直接用于教学的计算机不少于</w:t>
            </w:r>
            <w:r>
              <w:rPr>
                <w:rFonts w:hint="eastAsia" w:ascii="仿宋_GB2312" w:hAnsi="仿宋_GB2312" w:eastAsia="仿宋_GB2312" w:cs="仿宋_GB2312"/>
                <w:kern w:val="0"/>
                <w:sz w:val="24"/>
                <w:szCs w:val="24"/>
              </w:rPr>
              <w:t>40</w:t>
            </w:r>
            <w:r>
              <w:rPr>
                <w:rFonts w:hint="eastAsia" w:eastAsia="仿宋_GB2312"/>
                <w:kern w:val="0"/>
                <w:sz w:val="24"/>
                <w:szCs w:val="24"/>
              </w:rPr>
              <w:t>台（学生规模为</w:t>
            </w:r>
            <w:r>
              <w:rPr>
                <w:rFonts w:hint="eastAsia" w:ascii="仿宋_GB2312" w:hAnsi="仿宋_GB2312" w:eastAsia="仿宋_GB2312" w:cs="仿宋_GB2312"/>
                <w:kern w:val="0"/>
                <w:sz w:val="24"/>
                <w:szCs w:val="24"/>
              </w:rPr>
              <w:t>200</w:t>
            </w:r>
            <w:r>
              <w:rPr>
                <w:rFonts w:hint="eastAsia" w:eastAsia="仿宋_GB2312"/>
                <w:kern w:val="0"/>
                <w:sz w:val="24"/>
                <w:szCs w:val="24"/>
              </w:rPr>
              <w:t>人以下），机位数和学生数比例不低于</w:t>
            </w:r>
            <w:r>
              <w:rPr>
                <w:rFonts w:hint="eastAsia" w:ascii="仿宋_GB2312" w:hAnsi="仿宋_GB2312" w:eastAsia="仿宋_GB2312" w:cs="仿宋_GB2312"/>
                <w:kern w:val="0"/>
                <w:sz w:val="24"/>
                <w:szCs w:val="24"/>
              </w:rPr>
              <w:t>1:5</w:t>
            </w:r>
            <w:r>
              <w:rPr>
                <w:rFonts w:hint="eastAsia" w:eastAsia="仿宋_GB2312"/>
                <w:kern w:val="0"/>
                <w:sz w:val="24"/>
                <w:szCs w:val="24"/>
              </w:rPr>
              <w:t>。实验实训设备种类、数量满足专业和学习需求。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pPr>
              <w:snapToGrid w:val="0"/>
              <w:spacing w:line="320" w:lineRule="exact"/>
              <w:jc w:val="center"/>
              <w:rPr>
                <w:rFonts w:hint="eastAsia" w:eastAsia="仿宋_GB2312"/>
                <w:b/>
                <w:kern w:val="0"/>
                <w:sz w:val="24"/>
                <w:szCs w:val="24"/>
              </w:rPr>
            </w:pPr>
            <w:r>
              <w:rPr>
                <w:rFonts w:hint="eastAsia" w:ascii="仿宋_GB2312" w:hAnsi="仿宋_GB2312" w:eastAsia="仿宋_GB2312" w:cs="仿宋_GB2312"/>
                <w:b/>
                <w:kern w:val="0"/>
                <w:sz w:val="24"/>
                <w:szCs w:val="24"/>
              </w:rPr>
              <w:t>8</w:t>
            </w:r>
          </w:p>
        </w:tc>
        <w:tc>
          <w:tcPr>
            <w:tcW w:w="1268" w:type="dxa"/>
            <w:noWrap w:val="0"/>
            <w:vAlign w:val="center"/>
          </w:tcPr>
          <w:p>
            <w:pPr>
              <w:snapToGrid w:val="0"/>
              <w:spacing w:line="320" w:lineRule="exact"/>
              <w:jc w:val="center"/>
              <w:rPr>
                <w:rFonts w:hint="eastAsia" w:eastAsia="仿宋_GB2312"/>
                <w:b/>
                <w:kern w:val="0"/>
                <w:sz w:val="24"/>
                <w:szCs w:val="24"/>
              </w:rPr>
            </w:pPr>
            <w:r>
              <w:rPr>
                <w:rFonts w:hint="eastAsia" w:eastAsia="仿宋_GB2312"/>
                <w:b/>
                <w:kern w:val="0"/>
                <w:sz w:val="24"/>
                <w:szCs w:val="24"/>
              </w:rPr>
              <w:t>开展监督检查</w:t>
            </w:r>
          </w:p>
        </w:tc>
        <w:tc>
          <w:tcPr>
            <w:tcW w:w="6840" w:type="dxa"/>
            <w:noWrap w:val="0"/>
            <w:vAlign w:val="top"/>
          </w:tcPr>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34.</w:t>
            </w:r>
            <w:r>
              <w:rPr>
                <w:rFonts w:hint="eastAsia" w:eastAsia="仿宋_GB2312"/>
                <w:b/>
                <w:bCs/>
                <w:kern w:val="0"/>
                <w:sz w:val="24"/>
                <w:szCs w:val="24"/>
              </w:rPr>
              <w:t>健全检查监督机制。</w:t>
            </w:r>
            <w:r>
              <w:rPr>
                <w:rFonts w:hint="eastAsia" w:eastAsia="仿宋_GB2312"/>
                <w:color w:val="000000"/>
                <w:kern w:val="0"/>
                <w:sz w:val="24"/>
                <w:szCs w:val="24"/>
              </w:rPr>
              <w:t>各市县</w:t>
            </w:r>
            <w:r>
              <w:rPr>
                <w:rFonts w:hint="eastAsia" w:ascii="仿宋_GB2312" w:hAnsi="仿宋_GB2312" w:eastAsia="仿宋_GB2312" w:cs="仿宋_GB2312"/>
                <w:color w:val="000000"/>
                <w:kern w:val="0"/>
                <w:sz w:val="24"/>
                <w:szCs w:val="24"/>
              </w:rPr>
              <w:t>（市、区）</w:t>
            </w:r>
            <w:r>
              <w:rPr>
                <w:rFonts w:hint="eastAsia" w:eastAsia="仿宋_GB2312"/>
                <w:color w:val="000000"/>
                <w:kern w:val="0"/>
                <w:sz w:val="24"/>
                <w:szCs w:val="24"/>
              </w:rPr>
              <w:t>教育行政部门对辖区校外教学点的办学情况进行常态化监管，做好办学过程中的风险防控和隐患排查。</w:t>
            </w:r>
            <w:r>
              <w:rPr>
                <w:rFonts w:hint="eastAsia" w:eastAsia="仿宋_GB2312"/>
                <w:kern w:val="0"/>
                <w:sz w:val="24"/>
                <w:szCs w:val="24"/>
              </w:rPr>
              <w:t>主办高校要健全学历继续教育内部质量保证体系，严格落实高校继续教育发展年报制度，及时总结办学经验和凝练办学特色，开展自我评价，主动接受社会监督。</w:t>
            </w:r>
          </w:p>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35.</w:t>
            </w:r>
            <w:r>
              <w:rPr>
                <w:rFonts w:hint="eastAsia" w:eastAsia="仿宋_GB2312"/>
                <w:b/>
                <w:bCs/>
                <w:kern w:val="0"/>
                <w:sz w:val="24"/>
                <w:szCs w:val="24"/>
              </w:rPr>
              <w:t>加强办学监管。</w:t>
            </w:r>
            <w:r>
              <w:rPr>
                <w:rFonts w:hint="eastAsia" w:ascii="仿宋_GB2312" w:hAnsi="仿宋_GB2312" w:eastAsia="仿宋_GB2312" w:cs="仿宋_GB2312"/>
                <w:kern w:val="0"/>
                <w:sz w:val="24"/>
                <w:szCs w:val="24"/>
              </w:rPr>
              <w:t>主办高校要加大投入，</w:t>
            </w:r>
            <w:r>
              <w:rPr>
                <w:rFonts w:hint="eastAsia" w:eastAsia="仿宋_GB2312"/>
                <w:kern w:val="0"/>
                <w:sz w:val="24"/>
                <w:szCs w:val="24"/>
              </w:rPr>
              <w:t>加强线下与线上相结合的校外教学点办学监管和教学质量监测，实现校外教学点和校本部学历继续教育办学全流程管理。</w:t>
            </w:r>
          </w:p>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36.</w:t>
            </w:r>
            <w:r>
              <w:rPr>
                <w:rFonts w:hint="eastAsia" w:eastAsia="仿宋_GB2312"/>
                <w:b/>
                <w:bCs/>
                <w:kern w:val="0"/>
                <w:sz w:val="24"/>
                <w:szCs w:val="24"/>
              </w:rPr>
              <w:t>建立年检制度。</w:t>
            </w:r>
            <w:r>
              <w:rPr>
                <w:rFonts w:hint="eastAsia" w:ascii="仿宋_GB2312" w:hAnsi="仿宋_GB2312" w:eastAsia="仿宋_GB2312" w:cs="仿宋_GB2312"/>
                <w:kern w:val="0"/>
                <w:sz w:val="24"/>
                <w:szCs w:val="24"/>
              </w:rPr>
              <w:t>主办高校</w:t>
            </w:r>
            <w:r>
              <w:rPr>
                <w:rFonts w:hint="eastAsia" w:eastAsia="仿宋_GB2312"/>
                <w:kern w:val="0"/>
                <w:sz w:val="24"/>
                <w:szCs w:val="24"/>
              </w:rPr>
              <w:t>每年对校外教学点履行职责和办学情况进行检查评定，主要包括办学基本设施、辅导教师和管理人员队伍、面授教学安排、辅导答疑安排、考试组织、学生日常管理、教学经费投入等。</w:t>
            </w:r>
          </w:p>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37.</w:t>
            </w:r>
            <w:r>
              <w:rPr>
                <w:rFonts w:hint="eastAsia" w:eastAsia="仿宋_GB2312"/>
                <w:b/>
                <w:bCs/>
                <w:kern w:val="0"/>
                <w:sz w:val="24"/>
                <w:szCs w:val="24"/>
              </w:rPr>
              <w:t>保证成果运用。</w:t>
            </w:r>
            <w:r>
              <w:rPr>
                <w:rFonts w:hint="eastAsia" w:eastAsia="仿宋_GB2312"/>
                <w:kern w:val="0"/>
                <w:sz w:val="24"/>
                <w:szCs w:val="24"/>
              </w:rPr>
              <w:t>坚持把检查监督结果运用到实际办学中，形成质量保障长效机制。探索建立高等学历继续教育办学信用管理记分和处罚机制，开通违规办学举报受理渠道。对办学质量低下或存在违规办学行为的主办高校及校外教学点，视情采取调减招生计划、限制招生、停止招生</w:t>
            </w:r>
            <w:r>
              <w:rPr>
                <w:rFonts w:hint="eastAsia" w:ascii="仿宋_GB2312" w:hAnsi="仿宋_GB2312" w:eastAsia="仿宋_GB2312" w:cs="仿宋_GB2312"/>
                <w:kern w:val="0"/>
                <w:sz w:val="24"/>
                <w:szCs w:val="24"/>
              </w:rPr>
              <w:t>或</w:t>
            </w:r>
            <w:r>
              <w:rPr>
                <w:rFonts w:hint="eastAsia" w:eastAsia="仿宋_GB2312"/>
                <w:kern w:val="0"/>
                <w:sz w:val="24"/>
                <w:szCs w:val="24"/>
              </w:rPr>
              <w:t>取消办学资质处理。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pPr>
              <w:snapToGrid w:val="0"/>
              <w:spacing w:line="320" w:lineRule="exact"/>
              <w:jc w:val="center"/>
              <w:rPr>
                <w:rFonts w:hint="eastAsia" w:eastAsia="仿宋_GB2312"/>
                <w:b/>
                <w:kern w:val="0"/>
                <w:sz w:val="24"/>
                <w:szCs w:val="24"/>
              </w:rPr>
            </w:pPr>
            <w:r>
              <w:rPr>
                <w:rFonts w:hint="eastAsia" w:ascii="仿宋_GB2312" w:hAnsi="仿宋_GB2312" w:eastAsia="仿宋_GB2312" w:cs="仿宋_GB2312"/>
                <w:b/>
                <w:kern w:val="0"/>
                <w:sz w:val="24"/>
                <w:szCs w:val="24"/>
              </w:rPr>
              <w:t>9</w:t>
            </w:r>
          </w:p>
        </w:tc>
        <w:tc>
          <w:tcPr>
            <w:tcW w:w="1268" w:type="dxa"/>
            <w:noWrap w:val="0"/>
            <w:vAlign w:val="center"/>
          </w:tcPr>
          <w:p>
            <w:pPr>
              <w:snapToGrid w:val="0"/>
              <w:spacing w:line="320" w:lineRule="exact"/>
              <w:jc w:val="center"/>
              <w:rPr>
                <w:rFonts w:hint="eastAsia" w:eastAsia="仿宋_GB2312"/>
                <w:b/>
                <w:kern w:val="0"/>
                <w:sz w:val="24"/>
                <w:szCs w:val="24"/>
              </w:rPr>
            </w:pPr>
            <w:r>
              <w:rPr>
                <w:rFonts w:hint="eastAsia" w:eastAsia="仿宋_GB2312"/>
                <w:b/>
                <w:kern w:val="0"/>
                <w:sz w:val="24"/>
                <w:szCs w:val="24"/>
              </w:rPr>
              <w:t>做好质量保障</w:t>
            </w:r>
          </w:p>
        </w:tc>
        <w:tc>
          <w:tcPr>
            <w:tcW w:w="6840" w:type="dxa"/>
            <w:noWrap w:val="0"/>
            <w:vAlign w:val="top"/>
          </w:tcPr>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38.</w:t>
            </w:r>
            <w:r>
              <w:rPr>
                <w:rFonts w:hint="eastAsia" w:eastAsia="仿宋_GB2312"/>
                <w:b/>
                <w:bCs/>
                <w:kern w:val="0"/>
                <w:sz w:val="24"/>
                <w:szCs w:val="24"/>
              </w:rPr>
              <w:t>完善教学质量保障制度体系。</w:t>
            </w:r>
            <w:r>
              <w:rPr>
                <w:rFonts w:hint="eastAsia" w:eastAsia="仿宋_GB2312"/>
                <w:kern w:val="0"/>
                <w:sz w:val="24"/>
                <w:szCs w:val="24"/>
              </w:rPr>
              <w:t>要优化人才培养方案管理，完善日常教学管理、师资管理、教材管理、招生与学籍管理、教学档案管理、教学督导及学生评优制度、毕业生跟踪调查等教学质量实施过程的管理制度。</w:t>
            </w:r>
          </w:p>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39.</w:t>
            </w:r>
            <w:r>
              <w:rPr>
                <w:rFonts w:hint="eastAsia" w:eastAsia="仿宋_GB2312"/>
                <w:b/>
                <w:bCs/>
                <w:kern w:val="0"/>
                <w:sz w:val="24"/>
                <w:szCs w:val="24"/>
              </w:rPr>
              <w:t>完善教学质量保障运行体系。</w:t>
            </w:r>
            <w:r>
              <w:rPr>
                <w:rFonts w:hint="eastAsia" w:eastAsia="仿宋_GB2312"/>
                <w:kern w:val="0"/>
                <w:sz w:val="24"/>
                <w:szCs w:val="24"/>
              </w:rPr>
              <w:t>严格教学经费管理，确保各项教学支出，严格落实各教学环节的管理制度，组织开展各项教学任务，及时汇集教学的基本状态数据，确保办学过程稳定运行。</w:t>
            </w:r>
          </w:p>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40.完善</w:t>
            </w:r>
            <w:r>
              <w:rPr>
                <w:rFonts w:hint="eastAsia" w:eastAsia="仿宋_GB2312"/>
                <w:b/>
                <w:bCs/>
                <w:kern w:val="0"/>
                <w:sz w:val="24"/>
                <w:szCs w:val="24"/>
              </w:rPr>
              <w:t>教学质量保障体系。</w:t>
            </w:r>
            <w:r>
              <w:rPr>
                <w:rFonts w:hint="eastAsia" w:eastAsia="仿宋_GB2312"/>
                <w:kern w:val="0"/>
                <w:sz w:val="24"/>
                <w:szCs w:val="24"/>
              </w:rPr>
              <w:t>明确质量标准，确定管理职责</w:t>
            </w:r>
            <w:r>
              <w:rPr>
                <w:rFonts w:hint="eastAsia" w:eastAsia="仿宋_GB2312"/>
                <w:b w:val="0"/>
                <w:bCs w:val="0"/>
                <w:kern w:val="0"/>
                <w:sz w:val="24"/>
                <w:szCs w:val="24"/>
              </w:rPr>
              <w:t>，构建与混合式教育模式相适应的质量保障体系，</w:t>
            </w:r>
            <w:r>
              <w:rPr>
                <w:rFonts w:hint="eastAsia" w:eastAsia="仿宋_GB2312"/>
                <w:kern w:val="0"/>
                <w:sz w:val="24"/>
                <w:szCs w:val="24"/>
              </w:rPr>
              <w:t>加强教学督导和期中教学检查，有效开展各项教学数据的统计分析，强化办学过程监督检查和办学效果的评估评审。完善教育质量自我评估评价体系。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pPr>
              <w:snapToGrid w:val="0"/>
              <w:spacing w:line="320" w:lineRule="exact"/>
              <w:jc w:val="center"/>
              <w:rPr>
                <w:rFonts w:eastAsia="仿宋_GB2312"/>
                <w:b/>
                <w:kern w:val="0"/>
                <w:sz w:val="24"/>
                <w:szCs w:val="24"/>
              </w:rPr>
            </w:pPr>
            <w:r>
              <w:rPr>
                <w:rFonts w:hint="eastAsia" w:ascii="仿宋_GB2312" w:hAnsi="仿宋_GB2312" w:eastAsia="仿宋_GB2312" w:cs="仿宋_GB2312"/>
                <w:b/>
                <w:kern w:val="0"/>
                <w:sz w:val="24"/>
                <w:szCs w:val="24"/>
              </w:rPr>
              <w:t>10</w:t>
            </w:r>
          </w:p>
        </w:tc>
        <w:tc>
          <w:tcPr>
            <w:tcW w:w="1268" w:type="dxa"/>
            <w:noWrap w:val="0"/>
            <w:vAlign w:val="center"/>
          </w:tcPr>
          <w:p>
            <w:pPr>
              <w:snapToGrid w:val="0"/>
              <w:spacing w:line="320" w:lineRule="exact"/>
              <w:jc w:val="center"/>
              <w:rPr>
                <w:rFonts w:hint="eastAsia" w:eastAsia="仿宋_GB2312"/>
                <w:b/>
                <w:kern w:val="0"/>
                <w:sz w:val="24"/>
                <w:szCs w:val="24"/>
              </w:rPr>
            </w:pPr>
            <w:r>
              <w:rPr>
                <w:rFonts w:hint="eastAsia" w:eastAsia="仿宋_GB2312"/>
                <w:b/>
                <w:kern w:val="0"/>
                <w:sz w:val="24"/>
                <w:szCs w:val="24"/>
              </w:rPr>
              <w:t>推动智慧管理</w:t>
            </w:r>
          </w:p>
        </w:tc>
        <w:tc>
          <w:tcPr>
            <w:tcW w:w="6840" w:type="dxa"/>
            <w:noWrap w:val="0"/>
            <w:vAlign w:val="top"/>
          </w:tcPr>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41.</w:t>
            </w:r>
            <w:r>
              <w:rPr>
                <w:rFonts w:hint="eastAsia" w:eastAsia="仿宋_GB2312"/>
                <w:b/>
                <w:bCs/>
                <w:kern w:val="0"/>
                <w:sz w:val="24"/>
                <w:szCs w:val="24"/>
              </w:rPr>
              <w:t>加强监管平台建设。</w:t>
            </w:r>
            <w:r>
              <w:rPr>
                <w:rFonts w:hint="eastAsia" w:ascii="仿宋_GB2312" w:hAnsi="仿宋_GB2312" w:eastAsia="仿宋_GB2312" w:cs="仿宋_GB2312"/>
                <w:kern w:val="0"/>
                <w:sz w:val="24"/>
                <w:szCs w:val="24"/>
              </w:rPr>
              <w:t>探索运用大数据、人工智能等技术手段，对主办高校办学情况进行系统化、体系化、实时自动的全过程数据跟踪记录，逐步打造成集阳光招生服务平台、信息一网通平台、大数据分析平台、数字化课程资源共享平台为一体的智慧化智能化管理服务体系，提升我省高等学历继续教育监督管理和支持服务水平。</w:t>
            </w:r>
          </w:p>
          <w:p>
            <w:pPr>
              <w:rPr>
                <w:rFonts w:hint="eastAsia" w:eastAsia="仿宋_GB2312"/>
                <w:kern w:val="0"/>
                <w:sz w:val="24"/>
                <w:szCs w:val="24"/>
              </w:rPr>
            </w:pPr>
            <w:r>
              <w:rPr>
                <w:rFonts w:hint="eastAsia" w:ascii="仿宋_GB2312" w:hAnsi="仿宋_GB2312" w:eastAsia="仿宋_GB2312" w:cs="仿宋_GB2312"/>
                <w:b/>
                <w:bCs/>
                <w:kern w:val="0"/>
                <w:sz w:val="24"/>
                <w:szCs w:val="24"/>
              </w:rPr>
              <w:t>42.</w:t>
            </w:r>
            <w:r>
              <w:rPr>
                <w:rFonts w:hint="eastAsia" w:eastAsia="仿宋_GB2312"/>
                <w:b/>
                <w:bCs/>
                <w:kern w:val="0"/>
                <w:sz w:val="24"/>
                <w:szCs w:val="24"/>
              </w:rPr>
              <w:t>丰富教学资源供给。</w:t>
            </w:r>
            <w:r>
              <w:rPr>
                <w:rFonts w:hint="eastAsia" w:ascii="仿宋_GB2312" w:hAnsi="仿宋_GB2312" w:eastAsia="仿宋_GB2312" w:cs="仿宋_GB2312"/>
                <w:kern w:val="0"/>
                <w:sz w:val="24"/>
                <w:szCs w:val="24"/>
              </w:rPr>
              <w:t>主办高校要切实履行课程资源管理责任，持续更新优化课程数字资源，保障在线课程资源数量和质量，满足学习者学习需求。</w:t>
            </w:r>
            <w:r>
              <w:rPr>
                <w:rFonts w:hint="eastAsia" w:eastAsia="仿宋_GB2312"/>
                <w:kern w:val="0"/>
                <w:sz w:val="24"/>
                <w:szCs w:val="24"/>
              </w:rPr>
              <w:t>强化课程在线题库建设。</w:t>
            </w:r>
            <w:r>
              <w:rPr>
                <w:rFonts w:hint="eastAsia" w:ascii="仿宋_GB2312" w:hAnsi="仿宋_GB2312" w:eastAsia="仿宋_GB2312" w:cs="仿宋_GB2312"/>
                <w:kern w:val="0"/>
                <w:sz w:val="24"/>
                <w:szCs w:val="24"/>
              </w:rPr>
              <w:t>课程内容要因材施教</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贴近学生</w:t>
            </w:r>
            <w:r>
              <w:rPr>
                <w:rFonts w:ascii="仿宋_GB2312" w:hAnsi="仿宋_GB2312" w:eastAsia="仿宋_GB2312" w:cs="仿宋_GB2312"/>
                <w:kern w:val="0"/>
                <w:sz w:val="24"/>
                <w:szCs w:val="24"/>
              </w:rPr>
              <w:t>学习</w:t>
            </w:r>
            <w:r>
              <w:rPr>
                <w:rFonts w:hint="eastAsia" w:ascii="仿宋_GB2312" w:hAnsi="仿宋_GB2312" w:eastAsia="仿宋_GB2312" w:cs="仿宋_GB2312"/>
                <w:kern w:val="0"/>
                <w:sz w:val="24"/>
                <w:szCs w:val="24"/>
              </w:rPr>
              <w:t>实际，贯彻新理念、运用新技术、加强新应用，持续深化课程改革创新。</w:t>
            </w:r>
            <w:r>
              <w:rPr>
                <w:rFonts w:hint="eastAsia" w:eastAsia="仿宋_GB2312"/>
                <w:kern w:val="0"/>
                <w:sz w:val="24"/>
                <w:szCs w:val="24"/>
              </w:rPr>
              <w:t>到</w:t>
            </w:r>
            <w:r>
              <w:rPr>
                <w:rFonts w:hint="eastAsia" w:ascii="仿宋_GB2312" w:hAnsi="仿宋_GB2312" w:eastAsia="仿宋_GB2312" w:cs="仿宋_GB2312"/>
                <w:kern w:val="0"/>
                <w:sz w:val="24"/>
                <w:szCs w:val="24"/>
              </w:rPr>
              <w:t>2025</w:t>
            </w:r>
            <w:r>
              <w:rPr>
                <w:rFonts w:hint="eastAsia" w:eastAsia="仿宋_GB2312"/>
                <w:kern w:val="0"/>
                <w:sz w:val="24"/>
                <w:szCs w:val="24"/>
              </w:rPr>
              <w:t>年底，学校自主开发的网络课程占网络课程总量的比例不低</w:t>
            </w:r>
            <w:r>
              <w:rPr>
                <w:rFonts w:hint="eastAsia" w:eastAsia="仿宋_GB2312"/>
                <w:color w:val="000000"/>
                <w:kern w:val="0"/>
                <w:sz w:val="24"/>
                <w:szCs w:val="24"/>
              </w:rPr>
              <w:t>于</w:t>
            </w:r>
            <w:r>
              <w:rPr>
                <w:rFonts w:hint="eastAsia" w:ascii="仿宋_GB2312" w:hAnsi="仿宋_GB2312" w:eastAsia="仿宋_GB2312" w:cs="仿宋_GB2312"/>
                <w:color w:val="000000"/>
                <w:kern w:val="0"/>
                <w:sz w:val="24"/>
                <w:szCs w:val="24"/>
              </w:rPr>
              <w:t>50%</w:t>
            </w:r>
            <w:r>
              <w:rPr>
                <w:rFonts w:hint="eastAsia" w:eastAsia="仿宋_GB2312"/>
                <w:color w:val="000000"/>
                <w:kern w:val="0"/>
                <w:sz w:val="24"/>
                <w:szCs w:val="24"/>
              </w:rPr>
              <w:t>。</w:t>
            </w:r>
          </w:p>
          <w:p>
            <w:pPr>
              <w:pStyle w:val="7"/>
              <w:snapToGrid w:val="0"/>
              <w:spacing w:line="320" w:lineRule="exact"/>
              <w:ind w:firstLine="0" w:firstLineChars="0"/>
              <w:rPr>
                <w:rFonts w:eastAsia="仿宋_GB2312"/>
                <w:kern w:val="0"/>
                <w:sz w:val="24"/>
                <w:szCs w:val="24"/>
              </w:rPr>
            </w:pPr>
            <w:r>
              <w:rPr>
                <w:rFonts w:hint="eastAsia" w:ascii="仿宋_GB2312" w:hAnsi="仿宋_GB2312" w:eastAsia="仿宋_GB2312" w:cs="仿宋_GB2312"/>
                <w:b/>
                <w:bCs/>
                <w:kern w:val="0"/>
                <w:sz w:val="24"/>
                <w:szCs w:val="24"/>
              </w:rPr>
              <w:t>43.</w:t>
            </w:r>
            <w:r>
              <w:rPr>
                <w:rFonts w:hint="eastAsia" w:eastAsia="仿宋_GB2312"/>
                <w:b/>
                <w:bCs/>
                <w:kern w:val="0"/>
                <w:sz w:val="24"/>
                <w:szCs w:val="24"/>
              </w:rPr>
              <w:t>完善监督管理手段。</w:t>
            </w:r>
            <w:r>
              <w:rPr>
                <w:rFonts w:hint="eastAsia" w:ascii="仿宋_GB2312" w:hAnsi="仿宋_GB2312" w:eastAsia="仿宋_GB2312" w:cs="仿宋_GB2312"/>
                <w:kern w:val="0"/>
                <w:sz w:val="24"/>
                <w:szCs w:val="24"/>
              </w:rPr>
              <w:t>主办高校要充分利用现代信息技术手段，创新办学管理方式，加强招生、教学、考试、学籍、证书、收费等各环节的全流程管理，提高办学管理的数字化智能化水平，杜绝人为干预，保证流程规范、监管有效。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1" w:type="dxa"/>
            <w:noWrap w:val="0"/>
            <w:vAlign w:val="center"/>
          </w:tcPr>
          <w:p>
            <w:pPr>
              <w:snapToGrid w:val="0"/>
              <w:spacing w:line="320" w:lineRule="exact"/>
              <w:jc w:val="center"/>
              <w:rPr>
                <w:rFonts w:eastAsia="仿宋_GB2312"/>
                <w:b/>
                <w:kern w:val="0"/>
                <w:sz w:val="24"/>
                <w:szCs w:val="24"/>
              </w:rPr>
            </w:pPr>
            <w:r>
              <w:rPr>
                <w:rFonts w:hint="eastAsia" w:ascii="仿宋_GB2312" w:hAnsi="仿宋_GB2312" w:eastAsia="仿宋_GB2312" w:cs="仿宋_GB2312"/>
                <w:b/>
                <w:kern w:val="0"/>
                <w:sz w:val="24"/>
                <w:szCs w:val="24"/>
              </w:rPr>
              <w:t>11</w:t>
            </w:r>
          </w:p>
        </w:tc>
        <w:tc>
          <w:tcPr>
            <w:tcW w:w="1268" w:type="dxa"/>
            <w:noWrap w:val="0"/>
            <w:vAlign w:val="center"/>
          </w:tcPr>
          <w:p>
            <w:pPr>
              <w:snapToGrid w:val="0"/>
              <w:spacing w:line="320" w:lineRule="exact"/>
              <w:jc w:val="center"/>
              <w:rPr>
                <w:rFonts w:hint="eastAsia" w:eastAsia="仿宋_GB2312"/>
                <w:b/>
                <w:kern w:val="0"/>
                <w:sz w:val="24"/>
                <w:szCs w:val="24"/>
              </w:rPr>
            </w:pPr>
            <w:r>
              <w:rPr>
                <w:rFonts w:hint="eastAsia" w:eastAsia="仿宋_GB2312"/>
                <w:b/>
                <w:kern w:val="0"/>
                <w:sz w:val="24"/>
                <w:szCs w:val="24"/>
              </w:rPr>
              <w:t>落实保障措施</w:t>
            </w:r>
          </w:p>
        </w:tc>
        <w:tc>
          <w:tcPr>
            <w:tcW w:w="6840" w:type="dxa"/>
            <w:noWrap w:val="0"/>
            <w:vAlign w:val="top"/>
          </w:tcPr>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44.</w:t>
            </w:r>
            <w:r>
              <w:rPr>
                <w:rFonts w:hint="eastAsia" w:eastAsia="仿宋_GB2312"/>
                <w:b/>
                <w:bCs/>
                <w:kern w:val="0"/>
                <w:sz w:val="24"/>
                <w:szCs w:val="24"/>
              </w:rPr>
              <w:t>强化组织领导。</w:t>
            </w:r>
            <w:r>
              <w:rPr>
                <w:rFonts w:hint="eastAsia" w:eastAsia="仿宋_GB2312"/>
                <w:kern w:val="0"/>
                <w:sz w:val="24"/>
                <w:szCs w:val="24"/>
              </w:rPr>
              <w:t>主办高校要充分发挥学校党委的领导作用，形成党政主要领导为高等学历继续教育第一责任人、分管校领导为主要责任人，相关</w:t>
            </w:r>
            <w:r>
              <w:rPr>
                <w:rFonts w:hint="eastAsia" w:ascii="仿宋_GB2312" w:hAnsi="仿宋_GB2312" w:eastAsia="仿宋_GB2312" w:cs="仿宋_GB2312"/>
                <w:kern w:val="0"/>
                <w:sz w:val="24"/>
                <w:szCs w:val="24"/>
              </w:rPr>
              <w:t>重大决策须经学校党委会或党委常委会集体讨论决策，</w:t>
            </w:r>
            <w:r>
              <w:rPr>
                <w:rFonts w:hint="eastAsia" w:eastAsia="仿宋_GB2312"/>
                <w:kern w:val="0"/>
                <w:sz w:val="24"/>
                <w:szCs w:val="24"/>
              </w:rPr>
              <w:t>学校纪委全过程监督的工作格局。</w:t>
            </w:r>
          </w:p>
          <w:p>
            <w:pPr>
              <w:pStyle w:val="7"/>
              <w:snapToGrid w:val="0"/>
              <w:spacing w:line="320" w:lineRule="exact"/>
              <w:ind w:firstLine="0" w:firstLineChars="0"/>
              <w:rPr>
                <w:rFonts w:hint="eastAsia" w:eastAsia="仿宋_GB2312"/>
                <w:color w:val="000000"/>
                <w:kern w:val="0"/>
                <w:sz w:val="24"/>
                <w:szCs w:val="24"/>
              </w:rPr>
            </w:pPr>
            <w:r>
              <w:rPr>
                <w:rFonts w:hint="eastAsia" w:ascii="仿宋_GB2312" w:hAnsi="仿宋_GB2312" w:eastAsia="仿宋_GB2312" w:cs="仿宋_GB2312"/>
                <w:b/>
                <w:bCs/>
                <w:kern w:val="0"/>
                <w:sz w:val="24"/>
                <w:szCs w:val="24"/>
              </w:rPr>
              <w:t>45.</w:t>
            </w:r>
            <w:r>
              <w:rPr>
                <w:rFonts w:hint="eastAsia" w:eastAsia="仿宋_GB2312"/>
                <w:b/>
                <w:bCs/>
                <w:kern w:val="0"/>
                <w:sz w:val="24"/>
                <w:szCs w:val="24"/>
              </w:rPr>
              <w:t>制订改革实施</w:t>
            </w:r>
            <w:r>
              <w:rPr>
                <w:rFonts w:hint="eastAsia" w:ascii="仿宋_GB2312" w:hAnsi="仿宋_GB2312" w:eastAsia="仿宋_GB2312" w:cs="仿宋_GB2312"/>
                <w:b/>
                <w:bCs/>
                <w:kern w:val="0"/>
                <w:sz w:val="24"/>
                <w:szCs w:val="24"/>
              </w:rPr>
              <w:t>工作</w:t>
            </w:r>
            <w:r>
              <w:rPr>
                <w:rFonts w:hint="eastAsia" w:eastAsia="仿宋_GB2312"/>
                <w:b/>
                <w:bCs/>
                <w:kern w:val="0"/>
                <w:sz w:val="24"/>
                <w:szCs w:val="24"/>
              </w:rPr>
              <w:t>方案。</w:t>
            </w:r>
            <w:r>
              <w:rPr>
                <w:rFonts w:hint="eastAsia" w:ascii="仿宋_GB2312" w:hAnsi="仿宋_GB2312" w:eastAsia="仿宋_GB2312" w:cs="仿宋_GB2312"/>
                <w:kern w:val="0"/>
                <w:sz w:val="24"/>
                <w:szCs w:val="24"/>
              </w:rPr>
              <w:t>主办高校</w:t>
            </w:r>
            <w:r>
              <w:rPr>
                <w:rFonts w:hint="eastAsia" w:eastAsia="仿宋_GB2312"/>
                <w:kern w:val="0"/>
                <w:sz w:val="24"/>
                <w:szCs w:val="24"/>
              </w:rPr>
              <w:t>根据</w:t>
            </w:r>
            <w:r>
              <w:rPr>
                <w:rFonts w:hint="eastAsia" w:ascii="仿宋_GB2312" w:hAnsi="仿宋_GB2312" w:eastAsia="仿宋_GB2312" w:cs="仿宋_GB2312"/>
                <w:kern w:val="0"/>
                <w:sz w:val="24"/>
                <w:szCs w:val="24"/>
              </w:rPr>
              <w:t>改革实施方案</w:t>
            </w:r>
            <w:r>
              <w:rPr>
                <w:rFonts w:hint="eastAsia" w:eastAsia="仿宋_GB2312"/>
                <w:kern w:val="0"/>
                <w:sz w:val="24"/>
                <w:szCs w:val="24"/>
              </w:rPr>
              <w:t>，结合</w:t>
            </w:r>
            <w:r>
              <w:rPr>
                <w:rFonts w:hint="eastAsia" w:ascii="仿宋_GB2312" w:hAnsi="仿宋_GB2312" w:eastAsia="仿宋_GB2312" w:cs="仿宋_GB2312"/>
                <w:kern w:val="0"/>
                <w:sz w:val="24"/>
                <w:szCs w:val="24"/>
              </w:rPr>
              <w:t>区域</w:t>
            </w:r>
            <w:r>
              <w:rPr>
                <w:rFonts w:hint="eastAsia" w:eastAsia="仿宋_GB2312"/>
                <w:kern w:val="0"/>
                <w:sz w:val="24"/>
                <w:szCs w:val="24"/>
              </w:rPr>
              <w:t>社会经济发展需求、办学特色、办学条件等</w:t>
            </w:r>
            <w:r>
              <w:rPr>
                <w:rFonts w:hint="eastAsia" w:eastAsia="仿宋_GB2312"/>
                <w:color w:val="000000"/>
                <w:kern w:val="0"/>
                <w:sz w:val="24"/>
                <w:szCs w:val="24"/>
              </w:rPr>
              <w:t>，确定学历继续教育改革目标任务，研究制订</w:t>
            </w:r>
            <w:r>
              <w:rPr>
                <w:rFonts w:hint="eastAsia" w:ascii="仿宋_GB2312" w:hAnsi="仿宋_GB2312" w:eastAsia="仿宋_GB2312" w:cs="仿宋_GB2312"/>
                <w:color w:val="000000"/>
                <w:kern w:val="0"/>
                <w:sz w:val="24"/>
                <w:szCs w:val="24"/>
              </w:rPr>
              <w:t>本校</w:t>
            </w:r>
            <w:r>
              <w:rPr>
                <w:rFonts w:hint="eastAsia" w:eastAsia="仿宋_GB2312"/>
                <w:color w:val="000000"/>
                <w:kern w:val="0"/>
                <w:sz w:val="24"/>
                <w:szCs w:val="24"/>
              </w:rPr>
              <w:t>改革实施工作方案和具体落实措施。</w:t>
            </w:r>
          </w:p>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46.</w:t>
            </w:r>
            <w:r>
              <w:rPr>
                <w:rFonts w:hint="eastAsia" w:eastAsia="仿宋_GB2312"/>
                <w:b/>
                <w:bCs/>
                <w:kern w:val="0"/>
                <w:sz w:val="24"/>
                <w:szCs w:val="24"/>
              </w:rPr>
              <w:t>加强政策支持。</w:t>
            </w:r>
            <w:r>
              <w:rPr>
                <w:rFonts w:hint="eastAsia" w:eastAsia="仿宋_GB2312"/>
                <w:kern w:val="0"/>
                <w:sz w:val="24"/>
                <w:szCs w:val="24"/>
              </w:rPr>
              <w:t>根据举办学历继续教育所需师资、场所、设备等方面的基本要求，主办高校</w:t>
            </w:r>
            <w:r>
              <w:rPr>
                <w:rFonts w:hint="eastAsia" w:ascii="仿宋_GB2312" w:hAnsi="仿宋_GB2312" w:eastAsia="仿宋_GB2312" w:cs="仿宋_GB2312"/>
                <w:kern w:val="0"/>
                <w:sz w:val="24"/>
                <w:szCs w:val="24"/>
              </w:rPr>
              <w:t>要</w:t>
            </w:r>
            <w:r>
              <w:rPr>
                <w:rFonts w:hint="eastAsia" w:eastAsia="仿宋_GB2312"/>
                <w:kern w:val="0"/>
                <w:sz w:val="24"/>
                <w:szCs w:val="24"/>
              </w:rPr>
              <w:t>制定</w:t>
            </w:r>
            <w:r>
              <w:rPr>
                <w:rFonts w:hint="eastAsia" w:ascii="仿宋_GB2312" w:hAnsi="仿宋_GB2312" w:eastAsia="仿宋_GB2312" w:cs="仿宋_GB2312"/>
                <w:kern w:val="0"/>
                <w:sz w:val="24"/>
                <w:szCs w:val="24"/>
              </w:rPr>
              <w:t>完善</w:t>
            </w:r>
            <w:r>
              <w:rPr>
                <w:rFonts w:hint="eastAsia" w:eastAsia="仿宋_GB2312"/>
                <w:kern w:val="0"/>
                <w:sz w:val="24"/>
                <w:szCs w:val="24"/>
              </w:rPr>
              <w:t>相关支持保障措施</w:t>
            </w:r>
            <w:r>
              <w:rPr>
                <w:rFonts w:hint="eastAsia" w:ascii="仿宋_GB2312" w:hAnsi="仿宋_GB2312" w:eastAsia="仿宋_GB2312" w:cs="仿宋_GB2312"/>
                <w:kern w:val="0"/>
                <w:sz w:val="24"/>
                <w:szCs w:val="24"/>
              </w:rPr>
              <w:t>，</w:t>
            </w:r>
            <w:r>
              <w:rPr>
                <w:rFonts w:hint="eastAsia" w:eastAsia="仿宋_GB2312"/>
                <w:kern w:val="0"/>
                <w:sz w:val="24"/>
                <w:szCs w:val="24"/>
              </w:rPr>
              <w:t>要将在职教师承担本校继续教育工作纳入教学工作量计算和教师教学业绩考核评价体系。</w:t>
            </w:r>
          </w:p>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47.</w:t>
            </w:r>
            <w:r>
              <w:rPr>
                <w:rFonts w:hint="eastAsia" w:eastAsia="仿宋_GB2312"/>
                <w:b/>
                <w:bCs/>
                <w:kern w:val="0"/>
                <w:sz w:val="24"/>
                <w:szCs w:val="24"/>
              </w:rPr>
              <w:t>落实经费保障。</w:t>
            </w:r>
            <w:r>
              <w:rPr>
                <w:rFonts w:hint="eastAsia" w:eastAsia="仿宋_GB2312"/>
                <w:kern w:val="0"/>
                <w:sz w:val="24"/>
                <w:szCs w:val="24"/>
              </w:rPr>
              <w:t>主办高校建立健全财务管理制度，规范学费收入使用管理，保证学历继续教育学费总额中用于学历继续教育办学经费的比例原则上不低于</w:t>
            </w:r>
            <w:r>
              <w:rPr>
                <w:rFonts w:hint="eastAsia" w:ascii="仿宋_GB2312" w:hAnsi="仿宋_GB2312" w:eastAsia="仿宋_GB2312" w:cs="仿宋_GB2312"/>
                <w:kern w:val="0"/>
                <w:sz w:val="24"/>
                <w:szCs w:val="24"/>
              </w:rPr>
              <w:t>70%</w:t>
            </w:r>
            <w:r>
              <w:rPr>
                <w:rFonts w:hint="eastAsia" w:eastAsia="仿宋_GB2312"/>
                <w:kern w:val="0"/>
                <w:sz w:val="24"/>
                <w:szCs w:val="24"/>
              </w:rPr>
              <w:t>；学校拨付给设点单位用于校外教学点教育教学和管理工作使用的经费占学费总额的比例不高于50%。</w:t>
            </w:r>
          </w:p>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48.</w:t>
            </w:r>
            <w:r>
              <w:rPr>
                <w:rFonts w:hint="eastAsia" w:eastAsia="仿宋_GB2312"/>
                <w:b/>
                <w:bCs/>
                <w:kern w:val="0"/>
                <w:sz w:val="24"/>
                <w:szCs w:val="24"/>
              </w:rPr>
              <w:t>防范办学风险。</w:t>
            </w:r>
            <w:r>
              <w:rPr>
                <w:rFonts w:hint="eastAsia" w:ascii="仿宋_GB2312" w:hAnsi="仿宋_GB2312" w:eastAsia="仿宋_GB2312" w:cs="仿宋_GB2312"/>
                <w:kern w:val="0"/>
                <w:sz w:val="24"/>
                <w:szCs w:val="24"/>
              </w:rPr>
              <w:t>主办高校要</w:t>
            </w:r>
            <w:r>
              <w:rPr>
                <w:rFonts w:hint="eastAsia" w:eastAsia="仿宋_GB2312"/>
                <w:kern w:val="0"/>
                <w:sz w:val="24"/>
                <w:szCs w:val="24"/>
              </w:rPr>
              <w:t>严格管控</w:t>
            </w:r>
            <w:r>
              <w:rPr>
                <w:rFonts w:hint="eastAsia" w:ascii="仿宋_GB2312" w:hAnsi="仿宋_GB2312" w:eastAsia="仿宋_GB2312" w:cs="仿宋_GB2312"/>
                <w:kern w:val="0"/>
                <w:sz w:val="24"/>
                <w:szCs w:val="24"/>
              </w:rPr>
              <w:t>校外</w:t>
            </w:r>
            <w:r>
              <w:rPr>
                <w:rFonts w:hint="eastAsia" w:eastAsia="仿宋_GB2312"/>
                <w:kern w:val="0"/>
                <w:sz w:val="24"/>
                <w:szCs w:val="24"/>
              </w:rPr>
              <w:t>教学点管理风险，特别是撤销函授站（点）的办学风险，做好教学点管理风险预判并做好响应预案。严格管控招生学籍风险，维护招生的权威性和公信力，确保学籍信息数据安全、详实。严格管控教学风险，保证教学、考试、毕业论文（设计）和实习实验有序开展，切实维护学生利益。</w:t>
            </w:r>
          </w:p>
          <w:p>
            <w:pPr>
              <w:pStyle w:val="7"/>
              <w:snapToGrid w:val="0"/>
              <w:spacing w:line="320" w:lineRule="exact"/>
              <w:ind w:firstLine="0" w:firstLineChars="0"/>
              <w:rPr>
                <w:rFonts w:hint="eastAsia" w:eastAsia="仿宋_GB2312"/>
                <w:kern w:val="0"/>
                <w:sz w:val="24"/>
                <w:szCs w:val="24"/>
              </w:rPr>
            </w:pPr>
            <w:r>
              <w:rPr>
                <w:rFonts w:hint="eastAsia" w:ascii="仿宋_GB2312" w:hAnsi="仿宋_GB2312" w:eastAsia="仿宋_GB2312" w:cs="仿宋_GB2312"/>
                <w:b/>
                <w:bCs/>
                <w:kern w:val="0"/>
                <w:sz w:val="24"/>
                <w:szCs w:val="24"/>
              </w:rPr>
              <w:t>49.</w:t>
            </w:r>
            <w:r>
              <w:rPr>
                <w:rFonts w:hint="eastAsia" w:eastAsia="仿宋_GB2312"/>
                <w:b/>
                <w:bCs/>
                <w:kern w:val="0"/>
                <w:sz w:val="24"/>
                <w:szCs w:val="24"/>
              </w:rPr>
              <w:t>加强宣传引导。</w:t>
            </w:r>
            <w:r>
              <w:rPr>
                <w:rFonts w:hint="eastAsia" w:eastAsia="仿宋_GB2312"/>
                <w:kern w:val="0"/>
                <w:sz w:val="24"/>
                <w:szCs w:val="24"/>
              </w:rPr>
              <w:t>主办高校要加强高等学历继续教育相关学科建设、教材建设和数字资源建设力度，积极开展热点难点专题研究，培育打造学历继续教育改革创新重点任务国家级品牌项目。</w:t>
            </w:r>
          </w:p>
          <w:p>
            <w:pPr>
              <w:pStyle w:val="7"/>
              <w:snapToGrid w:val="0"/>
              <w:spacing w:line="320" w:lineRule="exact"/>
              <w:ind w:firstLine="0" w:firstLineChars="0"/>
              <w:rPr>
                <w:rFonts w:hint="eastAsia" w:eastAsia="仿宋_GB2312"/>
                <w:color w:val="FF0000"/>
                <w:kern w:val="0"/>
                <w:sz w:val="24"/>
                <w:szCs w:val="24"/>
              </w:rPr>
            </w:pPr>
            <w:r>
              <w:rPr>
                <w:rFonts w:hint="eastAsia" w:ascii="仿宋_GB2312" w:hAnsi="仿宋_GB2312" w:eastAsia="仿宋_GB2312" w:cs="仿宋_GB2312"/>
                <w:b/>
                <w:bCs/>
                <w:kern w:val="0"/>
                <w:sz w:val="24"/>
                <w:szCs w:val="24"/>
              </w:rPr>
              <w:t>50.</w:t>
            </w:r>
            <w:r>
              <w:rPr>
                <w:rFonts w:hint="eastAsia" w:eastAsia="仿宋_GB2312"/>
                <w:b/>
                <w:bCs/>
                <w:kern w:val="0"/>
                <w:sz w:val="24"/>
                <w:szCs w:val="24"/>
              </w:rPr>
              <w:t>营造良好氛围。</w:t>
            </w:r>
            <w:r>
              <w:rPr>
                <w:rFonts w:hint="eastAsia" w:ascii="仿宋_GB2312" w:hAnsi="仿宋_GB2312" w:eastAsia="仿宋_GB2312" w:cs="仿宋_GB2312"/>
                <w:kern w:val="0"/>
                <w:sz w:val="24"/>
                <w:szCs w:val="24"/>
              </w:rPr>
              <w:t>各级要</w:t>
            </w:r>
            <w:r>
              <w:rPr>
                <w:rFonts w:hint="eastAsia" w:eastAsia="仿宋_GB2312"/>
                <w:kern w:val="0"/>
                <w:sz w:val="24"/>
                <w:szCs w:val="24"/>
              </w:rPr>
              <w:t>加大对高等学历继续教育改革成果、发展成就和先进典型的宣传力度，充分发挥先进典型的示范、带动、引领和辐射作用。</w:t>
            </w:r>
          </w:p>
        </w:tc>
      </w:tr>
    </w:tbl>
    <w:p/>
    <w:p/>
    <w:sectPr>
      <w:footerReference r:id="rId3" w:type="default"/>
      <w:pgSz w:w="11906" w:h="16838"/>
      <w:pgMar w:top="1984"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- 14 -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- 14 -</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00DDB"/>
    <w:rsid w:val="02400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jc w:val="left"/>
      <w:outlineLvl w:val="1"/>
    </w:pPr>
    <w:rPr>
      <w:rFonts w:hint="eastAsia" w:ascii="宋体" w:hAnsi="宋体" w:eastAsia="黑体" w:cs="Times New Roman"/>
      <w:kern w:val="0"/>
      <w:sz w:val="32"/>
      <w:szCs w:val="36"/>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rPr>
      <w:rFonts w:ascii="Times New Roman" w:hAnsi="Times New Roman"/>
      <w:kern w:val="0"/>
      <w:sz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2024-01-10T01:38:00Z</dcterms:created>
  <dc:creator>z</dc:creator>
  <cp:lastModifiedBy>z</cp:lastModifiedBy>
  <dcterms:modified xsi:type="dcterms:W3CDTF">2024-01-10T01:39:04Z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